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73D218">
      <w:pPr>
        <w:keepNext w:val="0"/>
        <w:keepLines w:val="0"/>
        <w:pageBreakBefore w:val="0"/>
        <w:widowControl w:val="0"/>
        <w:kinsoku/>
        <w:overflowPunct/>
        <w:topLinePunct w:val="0"/>
        <w:autoSpaceDE/>
        <w:autoSpaceDN/>
        <w:bidi w:val="0"/>
        <w:spacing w:line="560" w:lineRule="exact"/>
        <w:jc w:val="center"/>
        <w:textAlignment w:val="auto"/>
        <w:rPr>
          <w:rFonts w:hint="eastAsia" w:ascii="方正小标宋简体" w:hAnsi="Times New Roman" w:eastAsia="方正小标宋简体" w:cs="Times New Roman"/>
          <w:sz w:val="44"/>
          <w:szCs w:val="44"/>
        </w:rPr>
      </w:pPr>
    </w:p>
    <w:p w14:paraId="0FCEDEF3">
      <w:pPr>
        <w:keepNext w:val="0"/>
        <w:keepLines w:val="0"/>
        <w:pageBreakBefore w:val="0"/>
        <w:widowControl w:val="0"/>
        <w:kinsoku/>
        <w:overflowPunct/>
        <w:topLinePunct w:val="0"/>
        <w:autoSpaceDE/>
        <w:autoSpaceDN/>
        <w:bidi w:val="0"/>
        <w:spacing w:line="560" w:lineRule="exact"/>
        <w:jc w:val="center"/>
        <w:textAlignment w:val="auto"/>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东丽区教育局2025年法治政府建设</w:t>
      </w:r>
    </w:p>
    <w:p w14:paraId="6B831EAC">
      <w:pPr>
        <w:keepNext w:val="0"/>
        <w:keepLines w:val="0"/>
        <w:pageBreakBefore w:val="0"/>
        <w:widowControl w:val="0"/>
        <w:kinsoku/>
        <w:overflowPunct/>
        <w:topLinePunct w:val="0"/>
        <w:autoSpaceDE/>
        <w:autoSpaceDN/>
        <w:bidi w:val="0"/>
        <w:spacing w:line="560" w:lineRule="exact"/>
        <w:jc w:val="center"/>
        <w:textAlignment w:val="auto"/>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年度报告</w:t>
      </w:r>
    </w:p>
    <w:p w14:paraId="058788FF">
      <w:pPr>
        <w:keepNext w:val="0"/>
        <w:keepLines w:val="0"/>
        <w:pageBreakBefore w:val="0"/>
        <w:widowControl w:val="0"/>
        <w:kinsoku/>
        <w:overflowPunct/>
        <w:topLinePunct w:val="0"/>
        <w:autoSpaceDE/>
        <w:autoSpaceDN/>
        <w:bidi w:val="0"/>
        <w:spacing w:line="560" w:lineRule="exact"/>
        <w:ind w:firstLine="640" w:firstLineChars="200"/>
        <w:textAlignment w:val="auto"/>
        <w:rPr>
          <w:rFonts w:ascii="Times New Roman" w:hAnsi="Times New Roman" w:eastAsia="仿宋_GB2312" w:cs="Times New Roman"/>
          <w:sz w:val="32"/>
          <w:szCs w:val="32"/>
        </w:rPr>
      </w:pPr>
    </w:p>
    <w:p w14:paraId="57C42CF0">
      <w:pPr>
        <w:keepNext w:val="0"/>
        <w:keepLines w:val="0"/>
        <w:pageBreakBefore w:val="0"/>
        <w:widowControl w:val="0"/>
        <w:kinsoku/>
        <w:overflowPunct/>
        <w:topLinePunct w:val="0"/>
        <w:autoSpaceDE/>
        <w:autoSpaceDN/>
        <w:bidi w:val="0"/>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2025年，我局坚持以习近平新时代中国特色社会主义思想为指导，深入贯彻党的二十大和二十届</w:t>
      </w: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中全会精神，认真学习贯彻习近平法治思想和习近平总书记关于教育的重要论述，全面落实《法治政府建设实施纲要（2021—2025年）》，将法治政府建设与教育事业发展深度融合，以依法治教、依法行政为核心，扎实推进法治政府建设各项工作，取得了良好成效。现将有关情况报告如下：</w:t>
      </w:r>
    </w:p>
    <w:p w14:paraId="69355517">
      <w:pPr>
        <w:keepNext w:val="0"/>
        <w:keepLines w:val="0"/>
        <w:pageBreakBefore w:val="0"/>
        <w:widowControl w:val="0"/>
        <w:kinsoku/>
        <w:overflowPunct/>
        <w:topLinePunct w:val="0"/>
        <w:autoSpaceDE/>
        <w:autoSpaceDN/>
        <w:bidi w:val="0"/>
        <w:spacing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rPr>
        <w:t>一、主要工作举措和成效</w:t>
      </w:r>
    </w:p>
    <w:p w14:paraId="20A312DC">
      <w:pPr>
        <w:keepNext w:val="0"/>
        <w:keepLines w:val="0"/>
        <w:pageBreakBefore w:val="0"/>
        <w:widowControl w:val="0"/>
        <w:kinsoku/>
        <w:overflowPunct/>
        <w:topLinePunct w:val="0"/>
        <w:autoSpaceDE/>
        <w:autoSpaceDN/>
        <w:bidi w:val="0"/>
        <w:spacing w:line="560" w:lineRule="exact"/>
        <w:ind w:firstLine="640" w:firstLineChars="200"/>
        <w:textAlignment w:val="auto"/>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（一）强化政治引领，落实法治建设责任</w:t>
      </w:r>
    </w:p>
    <w:p w14:paraId="3D4341A7">
      <w:pPr>
        <w:keepNext w:val="0"/>
        <w:keepLines w:val="0"/>
        <w:pageBreakBefore w:val="0"/>
        <w:widowControl w:val="0"/>
        <w:kinsoku/>
        <w:overflowPunct/>
        <w:topLinePunct w:val="0"/>
        <w:autoSpaceDE/>
        <w:autoSpaceDN/>
        <w:bidi w:val="0"/>
        <w:spacing w:line="560" w:lineRule="exact"/>
        <w:ind w:firstLine="640"/>
        <w:contextualSpacing/>
        <w:textAlignment w:val="auto"/>
        <w:rPr>
          <w:rFonts w:ascii="仿宋_GB2312" w:hAnsi="仿宋_GB2312" w:eastAsia="仿宋_GB2312" w:cs="仿宋_GB2312"/>
          <w:sz w:val="32"/>
          <w:szCs w:val="32"/>
        </w:rPr>
      </w:pPr>
      <w:r>
        <w:rPr>
          <w:rFonts w:hint="eastAsia" w:ascii="仿宋_GB2312" w:eastAsia="仿宋_GB2312"/>
          <w:sz w:val="32"/>
          <w:szCs w:val="32"/>
        </w:rPr>
        <w:t>1.深化思想理论武装。将习近平法治思想纳入局党组理论学习中心组核心必修内容，依托“三会一课”、主题党日等形式分层分类开展学习，全年多次组织法治专题学习，实现干部职工学习全覆盖。严格落实领导班子定期学法、年终述法制度，推动干部以法治思维谋事、以法治方式办事。</w:t>
      </w:r>
    </w:p>
    <w:p w14:paraId="0AB44FD6">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2.健全责任落实体系。</w:t>
      </w:r>
      <w:r>
        <w:rPr>
          <w:rFonts w:hint="eastAsia" w:ascii="仿宋_GB2312" w:hAnsi="Times New Roman" w:eastAsia="仿宋_GB2312" w:cs="Times New Roman"/>
          <w:sz w:val="32"/>
          <w:szCs w:val="32"/>
        </w:rPr>
        <w:t>明确责任分工，细化落实举措。主要负责人切实履行推进法治建设第一责任人职责，亲自部署、推动法治政府建设各项工作</w:t>
      </w:r>
      <w:r>
        <w:rPr>
          <w:rFonts w:hint="eastAsia" w:ascii="仿宋_GB2312" w:eastAsia="仿宋_GB2312"/>
          <w:sz w:val="32"/>
          <w:szCs w:val="32"/>
        </w:rPr>
        <w:t>，将法治建设纳入教育发展总体规划和年度工作计划，与日常工作同部署、同推进、同考核、同奖惩。成立教育系统法治建设工作领导小组，定期召开专题会议听取汇报。</w:t>
      </w:r>
    </w:p>
    <w:p w14:paraId="0BFAFFA5">
      <w:pPr>
        <w:keepNext w:val="0"/>
        <w:keepLines w:val="0"/>
        <w:pageBreakBefore w:val="0"/>
        <w:widowControl w:val="0"/>
        <w:kinsoku/>
        <w:overflowPunct/>
        <w:topLinePunct w:val="0"/>
        <w:autoSpaceDE/>
        <w:autoSpaceDN/>
        <w:bidi w:val="0"/>
        <w:spacing w:line="560" w:lineRule="exact"/>
        <w:ind w:firstLine="640" w:firstLineChars="200"/>
        <w:textAlignment w:val="auto"/>
        <w:rPr>
          <w:rFonts w:ascii="楷体_GB2312" w:hAnsi="Times New Roman" w:eastAsia="楷体_GB2312" w:cs="Times New Roman"/>
          <w:sz w:val="32"/>
          <w:szCs w:val="32"/>
        </w:rPr>
      </w:pPr>
      <w:r>
        <w:rPr>
          <w:rFonts w:hint="eastAsia" w:ascii="仿宋_GB2312" w:hAnsi="Times New Roman" w:eastAsia="仿宋_GB2312" w:cs="Times New Roman"/>
          <w:sz w:val="32"/>
          <w:szCs w:val="32"/>
        </w:rPr>
        <w:t>3</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营造良好学法氛围。将习近平法治思想纳入党委中心组理论学习内容，向基层学校下发学法清单，促进党员干部深入理解和掌握法律法规。制定学习培训计划，组织机关工作人员进行法治专题培训。落实“谁执法谁普法”工作责任制，开展形式多样的普法活动。</w:t>
      </w:r>
      <w:r>
        <w:rPr>
          <w:rFonts w:hint="eastAsia" w:ascii="仿宋_GB2312" w:hAnsi="仿宋_GB2312" w:eastAsia="仿宋_GB2312" w:cs="仿宋_GB2312"/>
          <w:sz w:val="32"/>
          <w:szCs w:val="32"/>
        </w:rPr>
        <w:t>认真学习《法治中国建设规划（</w:t>
      </w:r>
      <w:r>
        <w:rPr>
          <w:rFonts w:hint="eastAsia" w:ascii="Times New Roman" w:hAnsi="Times New Roman" w:eastAsia="仿宋_GB2312" w:cs="仿宋_GB2312"/>
          <w:sz w:val="32"/>
          <w:szCs w:val="32"/>
        </w:rPr>
        <w:t>2020</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2025</w:t>
      </w:r>
      <w:r>
        <w:rPr>
          <w:rFonts w:hint="eastAsia" w:ascii="仿宋_GB2312" w:hAnsi="仿宋_GB2312" w:eastAsia="仿宋_GB2312" w:cs="仿宋_GB2312"/>
          <w:sz w:val="32"/>
          <w:szCs w:val="32"/>
        </w:rPr>
        <w:t>年）》《法治社会建设实施纲要（</w:t>
      </w:r>
      <w:r>
        <w:rPr>
          <w:rFonts w:hint="eastAsia" w:ascii="Times New Roman" w:hAnsi="Times New Roman" w:eastAsia="仿宋_GB2312" w:cs="仿宋_GB2312"/>
          <w:sz w:val="32"/>
          <w:szCs w:val="32"/>
        </w:rPr>
        <w:t>2020</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2025</w:t>
      </w:r>
      <w:r>
        <w:rPr>
          <w:rFonts w:hint="eastAsia" w:ascii="仿宋_GB2312" w:hAnsi="仿宋_GB2312" w:eastAsia="仿宋_GB2312" w:cs="仿宋_GB2312"/>
          <w:sz w:val="32"/>
          <w:szCs w:val="32"/>
        </w:rPr>
        <w:t>年）》</w:t>
      </w:r>
      <w:r>
        <w:rPr>
          <w:rFonts w:ascii="Times New Roman" w:hAnsi="Times New Roman" w:eastAsia="仿宋_GB2312" w:cs="Times New Roman"/>
          <w:sz w:val="32"/>
          <w:szCs w:val="32"/>
        </w:rPr>
        <w:t>《天津市法治政府建设实施纲要（2021-2025年）》</w:t>
      </w:r>
      <w:r>
        <w:rPr>
          <w:rFonts w:hint="eastAsia" w:ascii="仿宋_GB2312" w:hAnsi="仿宋_GB2312" w:eastAsia="仿宋_GB2312" w:cs="仿宋_GB2312"/>
          <w:sz w:val="32"/>
          <w:szCs w:val="32"/>
        </w:rPr>
        <w:t>精神，将学习贯彻习近平法治思想和《宪法》《中华人民共和国民法典》《中华人民共和国未成年人保护法》《中华人民共和国预防未成年人犯罪法》《天津市预防和治理校园欺凌若干规定》等法律法规。通过行政会，教师会等形式开展培训形成知法、守法、懂法的整体氛围。</w:t>
      </w:r>
    </w:p>
    <w:p w14:paraId="701550F5">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（二）深化普法教育，构建法治宣传格局</w:t>
      </w:r>
      <w:r>
        <w:rPr>
          <w:rFonts w:hint="eastAsia" w:ascii="仿宋_GB2312" w:hAnsi="Times New Roman" w:eastAsia="仿宋_GB2312" w:cs="Times New Roman"/>
          <w:sz w:val="32"/>
          <w:szCs w:val="32"/>
        </w:rPr>
        <w:t xml:space="preserve"> </w:t>
      </w:r>
    </w:p>
    <w:p w14:paraId="6A64DB2F">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1.突出重点法律法规宣传。聚焦宪法、民法典等核心法律，结合“4·15”全民国家安全教育日、“12·4”国家宪法日等重要节点，开展集中宣传活动，发放宣传资料，推动宪法精神、法治理念深入人心。组织教育系统干部职工学习教育法、</w:t>
      </w:r>
      <w:r>
        <w:rPr>
          <w:rFonts w:hint="eastAsia" w:ascii="仿宋_GB2312" w:hAnsi="Times New Roman" w:eastAsia="仿宋_GB2312" w:cs="Times New Roman"/>
          <w:sz w:val="32"/>
          <w:szCs w:val="32"/>
          <w:lang w:eastAsia="zh-CN"/>
        </w:rPr>
        <w:t>《</w:t>
      </w:r>
      <w:r>
        <w:rPr>
          <w:rFonts w:hint="eastAsia" w:ascii="仿宋_GB2312" w:hAnsi="仿宋_GB2312" w:eastAsia="仿宋_GB2312" w:cs="仿宋_GB2312"/>
          <w:sz w:val="32"/>
          <w:szCs w:val="32"/>
        </w:rPr>
        <w:t>中华人民共和国</w:t>
      </w:r>
      <w:r>
        <w:rPr>
          <w:rFonts w:hint="eastAsia" w:ascii="仿宋_GB2312" w:hAnsi="Times New Roman" w:eastAsia="仿宋_GB2312" w:cs="Times New Roman"/>
          <w:sz w:val="32"/>
          <w:szCs w:val="32"/>
        </w:rPr>
        <w:t>义务教育法</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等行业法规，提升依法履职意识。</w:t>
      </w:r>
    </w:p>
    <w:p w14:paraId="24251ADF">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2.筑牢青少年法治教育根基。全面落实《青少年法治教育大纲》，确保法治教育计划、课时、教材、师资“四落实”，全年开设法治课程。完善中小学法治副校长制度，</w:t>
      </w:r>
      <w:r>
        <w:rPr>
          <w:rFonts w:hint="eastAsia" w:ascii="仿宋_GB2312" w:hAnsi="仿宋_GB2312" w:eastAsia="仿宋_GB2312" w:cs="仿宋_GB2312"/>
          <w:sz w:val="32"/>
          <w:szCs w:val="32"/>
        </w:rPr>
        <w:t>与公检法司部门密切配合，积极发挥法治副校长作用</w:t>
      </w:r>
      <w:r>
        <w:rPr>
          <w:rFonts w:hint="eastAsia" w:ascii="仿宋_GB2312" w:hAnsi="仿宋_GB2312" w:eastAsia="仿宋_GB2312" w:cs="仿宋_GB2312"/>
          <w:sz w:val="32"/>
          <w:szCs w:val="32"/>
          <w:lang w:eastAsia="zh-CN"/>
        </w:rPr>
        <w:t>，联合检察院印发法治</w:t>
      </w:r>
      <w:bookmarkStart w:id="0" w:name="_GoBack"/>
      <w:bookmarkEnd w:id="0"/>
      <w:r>
        <w:rPr>
          <w:rFonts w:hint="eastAsia" w:ascii="仿宋_GB2312" w:hAnsi="仿宋_GB2312" w:eastAsia="仿宋_GB2312" w:cs="仿宋_GB2312"/>
          <w:sz w:val="32"/>
          <w:szCs w:val="32"/>
          <w:lang w:eastAsia="zh-CN"/>
        </w:rPr>
        <w:t>副校长实质化履职文件，开展校园周边安全隐患整改</w:t>
      </w:r>
      <w:r>
        <w:rPr>
          <w:rFonts w:hint="eastAsia" w:ascii="仿宋_GB2312" w:hAnsi="仿宋_GB2312" w:eastAsia="仿宋_GB2312" w:cs="仿宋_GB2312"/>
          <w:sz w:val="32"/>
          <w:szCs w:val="32"/>
        </w:rPr>
        <w:t>。开展法治副校长、检察官、律师、消防支队等部门宣教领导进校园宣讲活动。</w:t>
      </w:r>
      <w:r>
        <w:rPr>
          <w:rFonts w:hint="eastAsia" w:ascii="仿宋_GB2312" w:hAnsi="Times New Roman" w:eastAsia="仿宋_GB2312" w:cs="Times New Roman"/>
          <w:sz w:val="32"/>
          <w:szCs w:val="32"/>
        </w:rPr>
        <w:t>构建学校、家庭、社会“三位一体”教育网络。</w:t>
      </w:r>
    </w:p>
    <w:p w14:paraId="552E57CA">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_GB2312" w:hAnsi="Times New Roman" w:eastAsia="仿宋_GB2312" w:cs="Times New Roman"/>
          <w:sz w:val="32"/>
          <w:szCs w:val="32"/>
        </w:rPr>
        <w:t>3.创新普法宣传形式。打造“线上+线下”普法平台，通过教育官网、微信公众号推送法治知识。今年</w:t>
      </w:r>
      <w:r>
        <w:rPr>
          <w:rFonts w:ascii="Times New Roman" w:hAnsi="Times New Roman" w:eastAsia="仿宋_GB2312" w:cs="Times New Roman"/>
          <w:sz w:val="32"/>
          <w:szCs w:val="32"/>
        </w:rPr>
        <w:t>全区中小学生参加“宪法卫士”在线学习答题活动，同时</w:t>
      </w:r>
      <w:r>
        <w:rPr>
          <w:rFonts w:hint="eastAsia" w:ascii="Times New Roman" w:hAnsi="Times New Roman" w:eastAsia="仿宋_GB2312" w:cs="Times New Roman"/>
          <w:sz w:val="32"/>
          <w:szCs w:val="32"/>
        </w:rPr>
        <w:t>在</w:t>
      </w:r>
      <w:r>
        <w:rPr>
          <w:rFonts w:ascii="Times New Roman" w:hAnsi="Times New Roman" w:eastAsia="仿宋_GB2312" w:cs="Times New Roman"/>
          <w:sz w:val="32"/>
          <w:szCs w:val="32"/>
        </w:rPr>
        <w:t>天津市第十届学生“学宪法讲宪法”演讲及素养竞赛</w:t>
      </w:r>
      <w:r>
        <w:rPr>
          <w:rFonts w:hint="eastAsia" w:ascii="Times New Roman" w:hAnsi="Times New Roman" w:eastAsia="仿宋_GB2312" w:cs="Times New Roman"/>
          <w:sz w:val="32"/>
          <w:szCs w:val="32"/>
        </w:rPr>
        <w:t>中</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人获得</w:t>
      </w:r>
      <w:r>
        <w:rPr>
          <w:rFonts w:hint="eastAsia" w:ascii="Times New Roman" w:hAnsi="Times New Roman" w:eastAsia="仿宋_GB2312" w:cs="Times New Roman"/>
          <w:sz w:val="32"/>
          <w:szCs w:val="32"/>
        </w:rPr>
        <w:t>市级季军</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人获得市级一等</w:t>
      </w:r>
      <w:r>
        <w:rPr>
          <w:rFonts w:hint="eastAsia" w:ascii="Times New Roman" w:hAnsi="Times New Roman" w:eastAsia="仿宋_GB2312" w:cs="Times New Roman"/>
          <w:sz w:val="32"/>
          <w:szCs w:val="32"/>
        </w:rPr>
        <w:t>奖，5人获</w:t>
      </w:r>
      <w:r>
        <w:rPr>
          <w:rFonts w:ascii="Times New Roman" w:hAnsi="Times New Roman" w:eastAsia="仿宋_GB2312" w:cs="Times New Roman"/>
          <w:sz w:val="32"/>
          <w:szCs w:val="32"/>
        </w:rPr>
        <w:t>市级</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等奖</w:t>
      </w:r>
      <w:r>
        <w:rPr>
          <w:rFonts w:hint="eastAsia" w:ascii="Times New Roman" w:hAnsi="Times New Roman" w:eastAsia="仿宋_GB2312" w:cs="Times New Roman"/>
          <w:sz w:val="32"/>
          <w:szCs w:val="32"/>
        </w:rPr>
        <w:t>，12人获得优秀奖</w:t>
      </w:r>
      <w:r>
        <w:rPr>
          <w:rFonts w:ascii="Times New Roman" w:hAnsi="Times New Roman" w:eastAsia="仿宋_GB2312" w:cs="Times New Roman"/>
          <w:sz w:val="32"/>
          <w:szCs w:val="32"/>
        </w:rPr>
        <w:t>。</w:t>
      </w:r>
    </w:p>
    <w:p w14:paraId="0A48199C">
      <w:pPr>
        <w:keepNext w:val="0"/>
        <w:keepLines w:val="0"/>
        <w:pageBreakBefore w:val="0"/>
        <w:widowControl w:val="0"/>
        <w:kinsoku/>
        <w:overflowPunct/>
        <w:topLinePunct w:val="0"/>
        <w:autoSpaceDE/>
        <w:autoSpaceDN/>
        <w:bidi w:val="0"/>
        <w:spacing w:line="560" w:lineRule="exact"/>
        <w:ind w:firstLine="640" w:firstLineChars="200"/>
        <w:textAlignment w:val="auto"/>
        <w:rPr>
          <w:rFonts w:ascii="楷体_GB2312" w:hAnsi="Times New Roman" w:eastAsia="楷体_GB2312" w:cs="Times New Roman"/>
          <w:sz w:val="32"/>
          <w:szCs w:val="32"/>
        </w:rPr>
      </w:pPr>
      <w:r>
        <w:rPr>
          <w:rFonts w:hint="eastAsia" w:ascii="楷体_GB2312" w:hAnsi="Times New Roman" w:eastAsia="楷体_GB2312" w:cs="Times New Roman"/>
          <w:sz w:val="32"/>
          <w:szCs w:val="32"/>
        </w:rPr>
        <w:t>（三）依法履行职能，提升治理水平</w:t>
      </w:r>
    </w:p>
    <w:p w14:paraId="1014CFF3">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严格落实教育重大行政决策程序规定和教育行政规范性文件管理办法，提高公众参与度。教育局监督审核各学校制定章程，确保学校章程符合国家法律法规和教育政策要求，促进学校的规范管理，突出各自的办学特色，推进学校依法依章自主办学。积极推进政府法律顾问制度，为教育决策和管理提供法律支持。</w:t>
      </w:r>
    </w:p>
    <w:p w14:paraId="69740B2E">
      <w:pPr>
        <w:keepNext w:val="0"/>
        <w:keepLines w:val="0"/>
        <w:pageBreakBefore w:val="0"/>
        <w:widowControl w:val="0"/>
        <w:kinsoku/>
        <w:overflowPunct/>
        <w:topLinePunct w:val="0"/>
        <w:autoSpaceDE/>
        <w:autoSpaceDN/>
        <w:bidi w:val="0"/>
        <w:spacing w:line="560" w:lineRule="exact"/>
        <w:ind w:firstLine="640" w:firstLineChars="200"/>
        <w:textAlignment w:val="auto"/>
        <w:rPr>
          <w:rFonts w:ascii="楷体_GB2312" w:hAnsi="Times New Roman" w:eastAsia="楷体_GB2312" w:cs="Times New Roman"/>
          <w:sz w:val="32"/>
          <w:szCs w:val="32"/>
        </w:rPr>
      </w:pPr>
      <w:r>
        <w:rPr>
          <w:rFonts w:hint="eastAsia" w:ascii="楷体_GB2312" w:hAnsi="Times New Roman" w:eastAsia="楷体_GB2312" w:cs="Times New Roman"/>
          <w:sz w:val="32"/>
          <w:szCs w:val="32"/>
        </w:rPr>
        <w:t>（四）完善依法行政，规范执法行为</w:t>
      </w:r>
    </w:p>
    <w:p w14:paraId="18EA344E">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1.认真落实市人大常委会的审议、执法检查等意见，制定行政执法相关制度，规范行政执法全过程，完善调处机制，多元化解矛盾纠纷。</w:t>
      </w:r>
    </w:p>
    <w:p w14:paraId="4ADBF2F2">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2. 加强法治队伍建设。统一行政执法人员资格管理，严格资格审核和动态监管，现有持证执法人员1</w:t>
      </w:r>
      <w:r>
        <w:rPr>
          <w:rFonts w:ascii="仿宋_GB2312" w:hAnsi="Times New Roman" w:eastAsia="仿宋_GB2312" w:cs="Times New Roman"/>
          <w:sz w:val="32"/>
          <w:szCs w:val="32"/>
        </w:rPr>
        <w:t>9</w:t>
      </w:r>
      <w:r>
        <w:rPr>
          <w:rFonts w:hint="eastAsia" w:ascii="仿宋_GB2312" w:hAnsi="Times New Roman" w:eastAsia="仿宋_GB2312" w:cs="Times New Roman"/>
          <w:sz w:val="32"/>
          <w:szCs w:val="32"/>
        </w:rPr>
        <w:t>名，杜绝无证执法、越权执法问题。常态化组织执法人员参加法律法规培训、案例研讨、实战演练等活动，开展行政执法案卷评查，评查案卷，推动执法行为标准化、规范化。</w:t>
      </w:r>
    </w:p>
    <w:p w14:paraId="46A9F146">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3. 规范行政执法行为。全面落实行政执法公示制度、执法全过程记录制度、重大执法决定法制审核制度，覆盖行政许可、行政检查等所有执法行为。</w:t>
      </w:r>
    </w:p>
    <w:p w14:paraId="31EC116E">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（五）创新监管方式，加强执法监督</w:t>
      </w:r>
    </w:p>
    <w:p w14:paraId="3D0F3D3A">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全面开展“双随机、一公开”联合执法，明确抽查计划，实现随机抽查全覆盖。</w:t>
      </w:r>
      <w:r>
        <w:rPr>
          <w:rFonts w:ascii="仿宋_GB2312" w:hAnsi="Times New Roman" w:eastAsia="仿宋_GB2312" w:cs="Times New Roman"/>
          <w:sz w:val="32"/>
          <w:szCs w:val="32"/>
        </w:rPr>
        <w:t>2025年区教育局会同消防、市场监管、人社等部门开展“双随机、一公开”联合检查6次，内部“双随机、一公开”检查11次，行政检查</w:t>
      </w:r>
      <w:r>
        <w:rPr>
          <w:rFonts w:hint="eastAsia" w:ascii="仿宋_GB2312" w:hAnsi="Times New Roman" w:eastAsia="仿宋_GB2312" w:cs="Times New Roman"/>
          <w:sz w:val="32"/>
          <w:szCs w:val="32"/>
        </w:rPr>
        <w:t>62件。</w:t>
      </w:r>
    </w:p>
    <w:p w14:paraId="36E1FEA4">
      <w:pPr>
        <w:keepNext w:val="0"/>
        <w:keepLines w:val="0"/>
        <w:pageBreakBefore w:val="0"/>
        <w:widowControl w:val="0"/>
        <w:kinsoku/>
        <w:overflowPunct/>
        <w:topLinePunct w:val="0"/>
        <w:autoSpaceDE/>
        <w:autoSpaceDN/>
        <w:bidi w:val="0"/>
        <w:spacing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rPr>
        <w:t>二、存在的不足</w:t>
      </w:r>
    </w:p>
    <w:p w14:paraId="78BC296F">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1.法治队伍建设仍有短板。部分基层学校法治教育师资力量薄弱，专业能力不足；行政执法队伍人员配置与执法需求存在差距，部分执法人员业务水平有待提升。</w:t>
      </w:r>
    </w:p>
    <w:p w14:paraId="7D6EA864">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2.法治宣传实效有待加强。普法宣传形式创新性不足，针对性、精准性不够，部分群体法治意识提升不明显；青少年法治教育与实践结合不够紧密，知行转化效果有待优化。</w:t>
      </w:r>
    </w:p>
    <w:p w14:paraId="0CFBB1E5">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3.制度执行力度需进一步强化。行政执法的规范化水平还有提升空间。部分规范性文件在基层落实过程中存在流程简化、执行不到位等问题；多元纠纷化解机制联动配合不够顺畅，协同效能未充分发挥。</w:t>
      </w:r>
    </w:p>
    <w:p w14:paraId="32076460">
      <w:pPr>
        <w:keepNext w:val="0"/>
        <w:keepLines w:val="0"/>
        <w:pageBreakBefore w:val="0"/>
        <w:widowControl w:val="0"/>
        <w:kinsoku/>
        <w:overflowPunct/>
        <w:topLinePunct w:val="0"/>
        <w:autoSpaceDE/>
        <w:autoSpaceDN/>
        <w:bidi w:val="0"/>
        <w:spacing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rPr>
        <w:t>三、下一步工作计划</w:t>
      </w:r>
    </w:p>
    <w:p w14:paraId="028D003B">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（一）强化法治学习培训</w:t>
      </w:r>
    </w:p>
    <w:p w14:paraId="0F3572FD">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持续深入学习习近平法治思想，加强法律法规和业务知识培训，提高干部职工法治素养和依法行政能力。</w:t>
      </w:r>
    </w:p>
    <w:p w14:paraId="4CC336F7">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（二）深化法治宣传教育创新</w:t>
      </w:r>
    </w:p>
    <w:p w14:paraId="00470C24">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创新法治宣传教育方式方法，丰富宣传内容，增强法治宣传教育的吸引力和感染力，提高师生和社会公众的法治意识。丰富普法内容和形式，聚焦教育领域热点难点问题，开展精准普法活动。推动青少年法治教育实践基地建设，组织模拟法庭、法治夏令营等活动，提升教育实效。</w:t>
      </w:r>
    </w:p>
    <w:p w14:paraId="555B5678">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（三）规范行政执法行为</w:t>
      </w:r>
    </w:p>
    <w:p w14:paraId="2CC4CB01">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进一步完善行政执法程序，加强行政执法监督，严格执法责任追究，提高行政执法的规范化、法治化水平。健全规范执法长效机制。进一步规范行政决策程序和规范性文件制定流程，加强全过程监管。深化行政执法“三项制度”落实，推进跨部门综合执法，提升执法精准性和效能。</w:t>
      </w:r>
    </w:p>
    <w:p w14:paraId="08269E29">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楷体_GB2312" w:hAnsi="Times New Roman" w:eastAsia="楷体_GB2312" w:cs="Times New Roman"/>
          <w:sz w:val="32"/>
          <w:szCs w:val="32"/>
        </w:rPr>
        <w:t>（四）深化依法治校工作</w:t>
      </w:r>
    </w:p>
    <w:p w14:paraId="25AFDCEB">
      <w:pPr>
        <w:keepNext w:val="0"/>
        <w:keepLines w:val="0"/>
        <w:pageBreakBefore w:val="0"/>
        <w:widowControl w:val="0"/>
        <w:kinsoku/>
        <w:overflowPunct/>
        <w:topLinePunct w:val="0"/>
        <w:autoSpaceDE/>
        <w:autoSpaceDN/>
        <w:bidi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推进依法治校示范校成果展示，推动学校治理体系和治理能力现代化，营造良好的校园法治环境。</w:t>
      </w:r>
    </w:p>
    <w:p w14:paraId="2A74BA91">
      <w:pPr>
        <w:keepNext w:val="0"/>
        <w:keepLines w:val="0"/>
        <w:pageBreakBefore w:val="0"/>
        <w:widowControl w:val="0"/>
        <w:kinsoku/>
        <w:overflowPunct/>
        <w:topLinePunct w:val="0"/>
        <w:autoSpaceDE/>
        <w:autoSpaceDN/>
        <w:bidi w:val="0"/>
        <w:spacing w:line="560" w:lineRule="exact"/>
        <w:textAlignment w:val="auto"/>
        <w:rPr>
          <w:rFonts w:ascii="仿宋_GB2312" w:hAnsi="Times New Roman" w:eastAsia="仿宋_GB2312" w:cs="Times New Roman"/>
          <w:sz w:val="32"/>
          <w:szCs w:val="32"/>
        </w:rPr>
      </w:pPr>
    </w:p>
    <w:p w14:paraId="74861060">
      <w:pPr>
        <w:keepNext w:val="0"/>
        <w:keepLines w:val="0"/>
        <w:pageBreakBefore w:val="0"/>
        <w:widowControl w:val="0"/>
        <w:kinsoku/>
        <w:overflowPunct/>
        <w:topLinePunct w:val="0"/>
        <w:autoSpaceDE/>
        <w:autoSpaceDN/>
        <w:bidi w:val="0"/>
        <w:spacing w:line="560" w:lineRule="exact"/>
        <w:textAlignment w:val="auto"/>
        <w:rPr>
          <w:rFonts w:hint="eastAsia" w:ascii="仿宋_GB2312" w:hAnsi="Times New Roman" w:eastAsia="仿宋_GB2312" w:cs="Times New Roman"/>
          <w:sz w:val="32"/>
          <w:szCs w:val="32"/>
        </w:rPr>
      </w:pPr>
    </w:p>
    <w:p w14:paraId="773299EA">
      <w:pPr>
        <w:keepNext w:val="0"/>
        <w:keepLines w:val="0"/>
        <w:pageBreakBefore w:val="0"/>
        <w:widowControl w:val="0"/>
        <w:kinsoku/>
        <w:overflowPunct/>
        <w:topLinePunct w:val="0"/>
        <w:autoSpaceDE/>
        <w:autoSpaceDN/>
        <w:bidi w:val="0"/>
        <w:spacing w:line="560" w:lineRule="exact"/>
        <w:jc w:val="righ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天津市东丽区教育局</w:t>
      </w:r>
    </w:p>
    <w:p w14:paraId="1D330B0C">
      <w:pPr>
        <w:keepNext w:val="0"/>
        <w:keepLines w:val="0"/>
        <w:pageBreakBefore w:val="0"/>
        <w:widowControl w:val="0"/>
        <w:kinsoku/>
        <w:overflowPunct/>
        <w:topLinePunct w:val="0"/>
        <w:autoSpaceDE/>
        <w:autoSpaceDN/>
        <w:bidi w:val="0"/>
        <w:spacing w:line="560" w:lineRule="exact"/>
        <w:jc w:val="righ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2025年12月</w:t>
      </w:r>
      <w:r>
        <w:rPr>
          <w:rFonts w:hint="eastAsia" w:ascii="Times New Roman" w:hAnsi="Times New Roman" w:eastAsia="仿宋_GB2312" w:cs="Times New Roman"/>
          <w:sz w:val="32"/>
          <w:szCs w:val="32"/>
        </w:rPr>
        <w:t>30</w:t>
      </w:r>
      <w:r>
        <w:rPr>
          <w:rFonts w:ascii="Times New Roman" w:hAnsi="Times New Roman" w:eastAsia="仿宋_GB2312" w:cs="Times New Roman"/>
          <w:sz w:val="32"/>
          <w:szCs w:val="32"/>
        </w:rPr>
        <w:t>日</w:t>
      </w:r>
    </w:p>
    <w:p w14:paraId="58134812">
      <w:pPr>
        <w:keepNext w:val="0"/>
        <w:keepLines w:val="0"/>
        <w:pageBreakBefore w:val="0"/>
        <w:widowControl w:val="0"/>
        <w:kinsoku/>
        <w:wordWrap w:val="0"/>
        <w:overflowPunct/>
        <w:topLinePunct w:val="0"/>
        <w:autoSpaceDE/>
        <w:autoSpaceDN/>
        <w:bidi w:val="0"/>
        <w:spacing w:line="560" w:lineRule="exact"/>
        <w:jc w:val="right"/>
        <w:textAlignment w:val="auto"/>
        <w:rPr>
          <w:rFonts w:ascii="仿宋_GB2312" w:hAnsi="Times New Roman" w:eastAsia="仿宋_GB2312" w:cs="Times New Roman"/>
          <w:sz w:val="32"/>
          <w:szCs w:val="32"/>
        </w:rPr>
      </w:pPr>
      <w:r>
        <w:rPr>
          <w:rFonts w:hint="eastAsia" w:ascii="Times New Roman" w:hAnsi="Times New Roman" w:eastAsia="仿宋_GB2312" w:cs="Times New Roman"/>
          <w:sz w:val="32"/>
          <w:szCs w:val="32"/>
        </w:rPr>
        <w:t>报告人：王琦    联系电话：18649221276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E27"/>
    <w:rsid w:val="00075E71"/>
    <w:rsid w:val="003C3C2C"/>
    <w:rsid w:val="004B7E27"/>
    <w:rsid w:val="004F39F2"/>
    <w:rsid w:val="00513E32"/>
    <w:rsid w:val="00524B59"/>
    <w:rsid w:val="006E32E1"/>
    <w:rsid w:val="0070194D"/>
    <w:rsid w:val="007807F2"/>
    <w:rsid w:val="00790F3C"/>
    <w:rsid w:val="00961811"/>
    <w:rsid w:val="00A20075"/>
    <w:rsid w:val="00A42BFF"/>
    <w:rsid w:val="00B31D6C"/>
    <w:rsid w:val="00B35C5A"/>
    <w:rsid w:val="00B422F8"/>
    <w:rsid w:val="00B44ABF"/>
    <w:rsid w:val="00B77F1A"/>
    <w:rsid w:val="00BF1C64"/>
    <w:rsid w:val="00C04841"/>
    <w:rsid w:val="00C6234E"/>
    <w:rsid w:val="00DF7864"/>
    <w:rsid w:val="00E37A0D"/>
    <w:rsid w:val="00FF3661"/>
    <w:rsid w:val="1ADA5AEE"/>
    <w:rsid w:val="35FC7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5"/>
    <w:semiHidden/>
    <w:unhideWhenUsed/>
    <w:qFormat/>
    <w:uiPriority w:val="99"/>
    <w:pPr>
      <w:ind w:left="100" w:leftChars="2500"/>
    </w:pPr>
  </w:style>
  <w:style w:type="character" w:customStyle="1" w:styleId="5">
    <w:name w:val="日期 字符"/>
    <w:basedOn w:val="4"/>
    <w:link w:val="2"/>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2419</Words>
  <Characters>2489</Characters>
  <Lines>17</Lines>
  <Paragraphs>4</Paragraphs>
  <TotalTime>18</TotalTime>
  <ScaleCrop>false</ScaleCrop>
  <LinksUpToDate>false</LinksUpToDate>
  <CharactersWithSpaces>2496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2025-12-24T09:24:00Z</dcterms:created>
  <dc:creator>xb21cn</dc:creator>
  <cp:lastModifiedBy>马如静</cp:lastModifiedBy>
  <dcterms:modified xsi:type="dcterms:W3CDTF">2026-01-12T08:16:18Z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eyJoZGlkIjoiMjY5MWQ5N2RkM2NlNGY3ZDY3ZGMyMjVkMDhhYmQ0OTUiLCJ1c2VySWQiOiIxNjg3ODQ0NTQyIn0=</vt:lpwstr>
  </property>
  <property fmtid="{D5CDD505-2E9C-101B-9397-08002B2CF9AE}" pid="3" name="KSOProductBuildVer">
    <vt:lpwstr>2052-12.1.0.23542</vt:lpwstr>
  </property>
  <property fmtid="{D5CDD505-2E9C-101B-9397-08002B2CF9AE}" pid="4" name="ICV">
    <vt:lpwstr>EC846920F0004435BBC16090D127EFD3_12</vt:lpwstr>
  </property>
</Properties>
</file>