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3ECEAB">
      <w:pPr>
        <w:keepNext w:val="0"/>
        <w:keepLines w:val="0"/>
        <w:pageBreakBefore w:val="0"/>
        <w:widowControl/>
        <w:kinsoku/>
        <w:wordWrap/>
        <w:overflowPunct w:val="0"/>
        <w:topLinePunct w:val="0"/>
        <w:autoSpaceDE w:val="0"/>
        <w:autoSpaceDN w:val="0"/>
        <w:bidi w:val="0"/>
        <w:adjustRightInd w:val="0"/>
        <w:snapToGrid w:val="0"/>
        <w:spacing w:before="0" w:after="0" w:line="560" w:lineRule="exact"/>
        <w:ind w:left="0"/>
        <w:jc w:val="center"/>
        <w:textAlignment w:val="auto"/>
        <w:rPr>
          <w:rFonts w:hint="eastAsia" w:ascii="方正小标宋简体" w:hAnsi="方正小标宋简体" w:eastAsia="方正小标宋简体" w:cs="方正小标宋简体"/>
          <w:kern w:val="0"/>
          <w:sz w:val="44"/>
          <w:szCs w:val="44"/>
          <w:lang w:val="en-US" w:eastAsia="en-US"/>
        </w:rPr>
      </w:pPr>
      <w:r>
        <w:rPr>
          <w:rFonts w:hint="eastAsia" w:ascii="方正小标宋简体" w:hAnsi="方正小标宋简体" w:eastAsia="方正小标宋简体" w:cs="方正小标宋简体"/>
          <w:kern w:val="0"/>
          <w:sz w:val="44"/>
          <w:szCs w:val="44"/>
          <w:lang w:val="en-US" w:eastAsia="zh-CN"/>
        </w:rPr>
        <w:t>军粮城街2025年</w:t>
      </w:r>
      <w:r>
        <w:rPr>
          <w:rFonts w:hint="eastAsia" w:ascii="方正小标宋简体" w:hAnsi="方正小标宋简体" w:eastAsia="方正小标宋简体" w:cs="方正小标宋简体"/>
          <w:kern w:val="0"/>
          <w:sz w:val="44"/>
          <w:szCs w:val="44"/>
          <w:lang w:val="en-US" w:eastAsia="en-US"/>
        </w:rPr>
        <w:t>法治</w:t>
      </w:r>
      <w:r>
        <w:rPr>
          <w:rFonts w:hint="eastAsia" w:ascii="方正小标宋简体" w:hAnsi="方正小标宋简体" w:eastAsia="方正小标宋简体" w:cs="方正小标宋简体"/>
          <w:kern w:val="0"/>
          <w:sz w:val="44"/>
          <w:szCs w:val="44"/>
          <w:lang w:val="en-US" w:eastAsia="zh-CN"/>
        </w:rPr>
        <w:t>政府</w:t>
      </w:r>
      <w:r>
        <w:rPr>
          <w:rFonts w:hint="eastAsia" w:ascii="方正小标宋简体" w:hAnsi="方正小标宋简体" w:eastAsia="方正小标宋简体" w:cs="方正小标宋简体"/>
          <w:kern w:val="0"/>
          <w:sz w:val="44"/>
          <w:szCs w:val="44"/>
          <w:lang w:val="en-US" w:eastAsia="en-US"/>
        </w:rPr>
        <w:t>建设</w:t>
      </w:r>
      <w:r>
        <w:rPr>
          <w:rFonts w:hint="eastAsia" w:ascii="方正小标宋简体" w:hAnsi="方正小标宋简体" w:eastAsia="方正小标宋简体" w:cs="方正小标宋简体"/>
          <w:kern w:val="0"/>
          <w:sz w:val="44"/>
          <w:szCs w:val="44"/>
          <w:lang w:val="en-US" w:eastAsia="zh-CN"/>
        </w:rPr>
        <w:t>年度</w:t>
      </w:r>
      <w:r>
        <w:rPr>
          <w:rFonts w:hint="eastAsia" w:ascii="方正小标宋简体" w:hAnsi="方正小标宋简体" w:eastAsia="方正小标宋简体" w:cs="方正小标宋简体"/>
          <w:kern w:val="0"/>
          <w:sz w:val="44"/>
          <w:szCs w:val="44"/>
          <w:lang w:val="en-US" w:eastAsia="en-US"/>
        </w:rPr>
        <w:t>报告</w:t>
      </w:r>
    </w:p>
    <w:p w14:paraId="656AA6F7">
      <w:pPr>
        <w:keepNext w:val="0"/>
        <w:keepLines w:val="0"/>
        <w:pageBreakBefore w:val="0"/>
        <w:widowControl/>
        <w:kinsoku/>
        <w:wordWrap/>
        <w:overflowPunct w:val="0"/>
        <w:topLinePunct w:val="0"/>
        <w:autoSpaceDE w:val="0"/>
        <w:autoSpaceDN w:val="0"/>
        <w:bidi w:val="0"/>
        <w:adjustRightInd w:val="0"/>
        <w:snapToGrid w:val="0"/>
        <w:spacing w:before="0" w:after="0" w:line="560" w:lineRule="exact"/>
        <w:ind w:left="0" w:firstLine="640" w:firstLineChars="200"/>
        <w:jc w:val="both"/>
        <w:textAlignment w:val="auto"/>
        <w:rPr>
          <w:rFonts w:hint="eastAsia" w:ascii="Times New Roman" w:hAnsi="Times New Roman" w:eastAsia="黑体" w:cs="Times New Roman"/>
          <w:kern w:val="0"/>
          <w:sz w:val="32"/>
          <w:szCs w:val="32"/>
          <w:lang w:eastAsia="en-US"/>
        </w:rPr>
      </w:pPr>
    </w:p>
    <w:p w14:paraId="51190334">
      <w:pPr>
        <w:keepNext w:val="0"/>
        <w:keepLines w:val="0"/>
        <w:pageBreakBefore w:val="0"/>
        <w:widowControl/>
        <w:kinsoku/>
        <w:wordWrap/>
        <w:overflowPunct w:val="0"/>
        <w:topLinePunct w:val="0"/>
        <w:autoSpaceDE w:val="0"/>
        <w:autoSpaceDN w:val="0"/>
        <w:bidi w:val="0"/>
        <w:adjustRightInd w:val="0"/>
        <w:snapToGrid w:val="0"/>
        <w:spacing w:before="0" w:after="0" w:line="560" w:lineRule="exact"/>
        <w:ind w:left="0" w:firstLine="640" w:firstLineChars="200"/>
        <w:jc w:val="both"/>
        <w:textAlignment w:val="auto"/>
        <w:rPr>
          <w:rFonts w:hint="eastAsia" w:ascii="Times New Roman" w:hAnsi="Times New Roman" w:eastAsia="黑体" w:cs="Times New Roman"/>
          <w:kern w:val="0"/>
          <w:sz w:val="32"/>
          <w:szCs w:val="32"/>
          <w:lang w:eastAsia="en-US"/>
        </w:rPr>
      </w:pPr>
      <w:r>
        <w:rPr>
          <w:rFonts w:hint="eastAsia" w:ascii="仿宋_GB2312" w:hAnsi="仿宋_GB2312" w:eastAsia="仿宋_GB2312" w:cs="仿宋_GB2312"/>
          <w:i w:val="0"/>
          <w:iCs w:val="0"/>
          <w:caps w:val="0"/>
          <w:color w:val="000000"/>
          <w:spacing w:val="0"/>
          <w:sz w:val="32"/>
          <w:szCs w:val="32"/>
        </w:rPr>
        <w:t>202</w:t>
      </w:r>
      <w:r>
        <w:rPr>
          <w:rFonts w:hint="eastAsia" w:ascii="仿宋_GB2312" w:hAnsi="仿宋_GB2312" w:eastAsia="仿宋_GB2312" w:cs="仿宋_GB2312"/>
          <w:i w:val="0"/>
          <w:iCs w:val="0"/>
          <w:caps w:val="0"/>
          <w:color w:val="000000"/>
          <w:spacing w:val="0"/>
          <w:sz w:val="32"/>
          <w:szCs w:val="32"/>
          <w:lang w:val="en-US" w:eastAsia="zh-CN"/>
        </w:rPr>
        <w:t>5</w:t>
      </w:r>
      <w:r>
        <w:rPr>
          <w:rFonts w:hint="eastAsia" w:ascii="仿宋_GB2312" w:hAnsi="仿宋_GB2312" w:eastAsia="仿宋_GB2312" w:cs="仿宋_GB2312"/>
          <w:i w:val="0"/>
          <w:iCs w:val="0"/>
          <w:caps w:val="0"/>
          <w:color w:val="000000"/>
          <w:spacing w:val="0"/>
          <w:sz w:val="32"/>
          <w:szCs w:val="32"/>
        </w:rPr>
        <w:t>年</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lang w:val="en-US" w:eastAsia="zh-CN"/>
        </w:rPr>
        <w:t>军粮城街法治政府建设</w:t>
      </w:r>
      <w:r>
        <w:rPr>
          <w:rFonts w:hint="eastAsia" w:ascii="仿宋_GB2312" w:hAnsi="仿宋_GB2312" w:eastAsia="仿宋_GB2312" w:cs="仿宋_GB2312"/>
          <w:i w:val="0"/>
          <w:iCs w:val="0"/>
          <w:caps w:val="0"/>
          <w:color w:val="000000"/>
          <w:spacing w:val="0"/>
          <w:sz w:val="32"/>
          <w:szCs w:val="32"/>
        </w:rPr>
        <w:t>以习近平新时代中国特色社会主义思想为指导，全面贯彻党的二十大和二十届二中</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lang w:val="en-US" w:eastAsia="zh-CN"/>
        </w:rPr>
        <w:t>三中、四中</w:t>
      </w:r>
      <w:r>
        <w:rPr>
          <w:rFonts w:hint="eastAsia" w:ascii="仿宋_GB2312" w:hAnsi="仿宋_GB2312" w:eastAsia="仿宋_GB2312" w:cs="仿宋_GB2312"/>
          <w:i w:val="0"/>
          <w:iCs w:val="0"/>
          <w:caps w:val="0"/>
          <w:color w:val="000000"/>
          <w:spacing w:val="0"/>
          <w:sz w:val="32"/>
          <w:szCs w:val="32"/>
        </w:rPr>
        <w:t>全会精神</w:t>
      </w:r>
      <w:r>
        <w:rPr>
          <w:rFonts w:hint="eastAsia" w:ascii="仿宋_GB2312" w:hAnsi="仿宋_GB2312" w:eastAsia="仿宋_GB2312" w:cs="仿宋_GB2312"/>
          <w:i w:val="0"/>
          <w:iCs w:val="0"/>
          <w:caps w:val="0"/>
          <w:color w:val="000000"/>
          <w:spacing w:val="0"/>
          <w:sz w:val="32"/>
          <w:szCs w:val="32"/>
          <w:lang w:val="en-US" w:eastAsia="zh-CN"/>
        </w:rPr>
        <w:t>及市、区法治建设工作部署</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rPr>
        <w:t>深入学习贯彻习近平法治思想，认真落实习近平总书记视察天津重要讲话精神和对天津工作的一系列重要指示要求，深刻领悟“两个确立”的决定性意义，增强“四个意识”、坚定“四个自信”、做到“两个维护”，以法治服务保障高质量发展和高水平安全为切入点，持续全面推进法治</w:t>
      </w:r>
      <w:r>
        <w:rPr>
          <w:rFonts w:hint="eastAsia" w:ascii="仿宋_GB2312" w:hAnsi="仿宋_GB2312" w:eastAsia="仿宋_GB2312" w:cs="仿宋_GB2312"/>
          <w:i w:val="0"/>
          <w:iCs w:val="0"/>
          <w:caps w:val="0"/>
          <w:color w:val="000000"/>
          <w:spacing w:val="0"/>
          <w:sz w:val="32"/>
          <w:szCs w:val="32"/>
          <w:lang w:val="en-US" w:eastAsia="zh-CN"/>
        </w:rPr>
        <w:t>政府</w:t>
      </w:r>
      <w:r>
        <w:rPr>
          <w:rFonts w:hint="eastAsia" w:ascii="仿宋_GB2312" w:hAnsi="仿宋_GB2312" w:eastAsia="仿宋_GB2312" w:cs="仿宋_GB2312"/>
          <w:i w:val="0"/>
          <w:iCs w:val="0"/>
          <w:caps w:val="0"/>
          <w:color w:val="000000"/>
          <w:spacing w:val="0"/>
          <w:sz w:val="32"/>
          <w:szCs w:val="32"/>
        </w:rPr>
        <w:t>建设，为</w:t>
      </w:r>
      <w:r>
        <w:rPr>
          <w:rFonts w:hint="eastAsia" w:ascii="仿宋_GB2312" w:hAnsi="仿宋_GB2312" w:eastAsia="仿宋_GB2312" w:cs="仿宋_GB2312"/>
          <w:i w:val="0"/>
          <w:iCs w:val="0"/>
          <w:caps w:val="0"/>
          <w:color w:val="000000"/>
          <w:spacing w:val="0"/>
          <w:sz w:val="32"/>
          <w:szCs w:val="32"/>
          <w:lang w:val="en-US" w:eastAsia="zh-CN"/>
        </w:rPr>
        <w:t>全街各项工作</w:t>
      </w:r>
      <w:r>
        <w:rPr>
          <w:rFonts w:hint="eastAsia" w:ascii="仿宋_GB2312" w:hAnsi="仿宋_GB2312" w:eastAsia="仿宋_GB2312" w:cs="仿宋_GB2312"/>
          <w:i w:val="0"/>
          <w:iCs w:val="0"/>
          <w:caps w:val="0"/>
          <w:color w:val="000000"/>
          <w:spacing w:val="0"/>
          <w:sz w:val="32"/>
          <w:szCs w:val="32"/>
        </w:rPr>
        <w:t>提供</w:t>
      </w:r>
      <w:r>
        <w:rPr>
          <w:rFonts w:hint="eastAsia" w:ascii="仿宋_GB2312" w:hAnsi="仿宋_GB2312" w:eastAsia="仿宋_GB2312" w:cs="仿宋_GB2312"/>
          <w:i w:val="0"/>
          <w:iCs w:val="0"/>
          <w:caps w:val="0"/>
          <w:color w:val="000000"/>
          <w:spacing w:val="0"/>
          <w:sz w:val="32"/>
          <w:szCs w:val="32"/>
          <w:lang w:eastAsia="zh-CN"/>
        </w:rPr>
        <w:t>了</w:t>
      </w:r>
      <w:r>
        <w:rPr>
          <w:rFonts w:hint="eastAsia" w:ascii="仿宋_GB2312" w:hAnsi="仿宋_GB2312" w:eastAsia="仿宋_GB2312" w:cs="仿宋_GB2312"/>
          <w:i w:val="0"/>
          <w:iCs w:val="0"/>
          <w:caps w:val="0"/>
          <w:color w:val="000000"/>
          <w:spacing w:val="0"/>
          <w:sz w:val="32"/>
          <w:szCs w:val="32"/>
        </w:rPr>
        <w:t>有力法治保障。</w:t>
      </w:r>
      <w:r>
        <w:rPr>
          <w:rFonts w:hint="eastAsia" w:ascii="仿宋_GB2312" w:hAnsi="仿宋_GB2312" w:eastAsia="仿宋_GB2312" w:cs="仿宋_GB2312"/>
          <w:i w:val="0"/>
          <w:iCs w:val="0"/>
          <w:caps w:val="0"/>
          <w:color w:val="000000"/>
          <w:spacing w:val="0"/>
          <w:sz w:val="32"/>
          <w:szCs w:val="32"/>
        </w:rPr>
        <w:br w:type="textWrapping"/>
      </w:r>
      <w:r>
        <w:rPr>
          <w:rFonts w:hint="eastAsia" w:ascii="仿宋_GB2312" w:hAnsi="仿宋_GB2312" w:eastAsia="仿宋_GB2312" w:cs="仿宋_GB2312"/>
          <w:i w:val="0"/>
          <w:iCs w:val="0"/>
          <w:caps w:val="0"/>
          <w:color w:val="000000"/>
          <w:spacing w:val="0"/>
          <w:sz w:val="32"/>
          <w:szCs w:val="32"/>
          <w:lang w:val="en-US" w:eastAsia="zh-CN"/>
        </w:rPr>
        <w:t xml:space="preserve">     </w:t>
      </w:r>
      <w:r>
        <w:rPr>
          <w:rFonts w:hint="eastAsia" w:ascii="Times New Roman" w:hAnsi="Times New Roman" w:eastAsia="黑体" w:cs="Times New Roman"/>
          <w:kern w:val="0"/>
          <w:sz w:val="32"/>
          <w:szCs w:val="32"/>
          <w:lang w:eastAsia="en-US"/>
        </w:rPr>
        <w:t>一、工作成效</w:t>
      </w:r>
    </w:p>
    <w:p w14:paraId="430F03B2">
      <w:pPr>
        <w:keepNext w:val="0"/>
        <w:keepLines w:val="0"/>
        <w:pageBreakBefore w:val="0"/>
        <w:widowControl/>
        <w:kinsoku/>
        <w:wordWrap/>
        <w:overflowPunct w:val="0"/>
        <w:topLinePunct w:val="0"/>
        <w:autoSpaceDE w:val="0"/>
        <w:autoSpaceDN w:val="0"/>
        <w:bidi w:val="0"/>
        <w:adjustRightInd w:val="0"/>
        <w:snapToGrid w:val="0"/>
        <w:spacing w:before="0" w:after="0" w:line="560" w:lineRule="exact"/>
        <w:ind w:left="0" w:firstLine="643" w:firstLineChars="200"/>
        <w:jc w:val="both"/>
        <w:textAlignment w:val="auto"/>
        <w:rPr>
          <w:rFonts w:hint="eastAsia" w:ascii="仿宋_GB2312" w:hAnsi="仿宋_GB2312" w:eastAsia="仿宋_GB2312" w:cs="仿宋_GB2312"/>
          <w:b/>
          <w:bCs/>
          <w:i w:val="0"/>
          <w:iCs w:val="0"/>
          <w:caps w:val="0"/>
          <w:color w:val="000000"/>
          <w:spacing w:val="0"/>
          <w:sz w:val="32"/>
          <w:szCs w:val="32"/>
        </w:rPr>
      </w:pPr>
      <w:r>
        <w:rPr>
          <w:rFonts w:hint="eastAsia" w:ascii="仿宋_GB2312" w:hAnsi="仿宋_GB2312" w:eastAsia="仿宋_GB2312" w:cs="仿宋_GB2312"/>
          <w:b/>
          <w:bCs/>
          <w:kern w:val="0"/>
          <w:sz w:val="32"/>
          <w:szCs w:val="32"/>
          <w:lang w:eastAsia="en-US"/>
        </w:rPr>
        <w:t>（一）</w:t>
      </w:r>
      <w:r>
        <w:rPr>
          <w:rFonts w:hint="eastAsia" w:ascii="仿宋_GB2312" w:hAnsi="仿宋_GB2312" w:eastAsia="仿宋_GB2312" w:cs="仿宋_GB2312"/>
          <w:b/>
          <w:bCs/>
          <w:i w:val="0"/>
          <w:iCs w:val="0"/>
          <w:caps w:val="0"/>
          <w:color w:val="000000"/>
          <w:spacing w:val="0"/>
          <w:sz w:val="32"/>
          <w:szCs w:val="32"/>
        </w:rPr>
        <w:t>深入学习贯彻落实习近</w:t>
      </w:r>
      <w:r>
        <w:rPr>
          <w:rFonts w:hint="eastAsia" w:ascii="仿宋_GB2312" w:hAnsi="仿宋_GB2312" w:eastAsia="仿宋_GB2312" w:cs="仿宋_GB2312"/>
          <w:b/>
          <w:bCs/>
          <w:i w:val="0"/>
          <w:iCs w:val="0"/>
          <w:caps w:val="0"/>
          <w:color w:val="000000"/>
          <w:spacing w:val="0"/>
          <w:sz w:val="32"/>
          <w:szCs w:val="32"/>
          <w:lang w:val="en-US" w:eastAsia="zh-CN"/>
        </w:rPr>
        <w:t>平</w:t>
      </w:r>
      <w:r>
        <w:rPr>
          <w:rFonts w:hint="eastAsia" w:ascii="仿宋_GB2312" w:hAnsi="仿宋_GB2312" w:eastAsia="仿宋_GB2312" w:cs="仿宋_GB2312"/>
          <w:b/>
          <w:bCs/>
          <w:i w:val="0"/>
          <w:iCs w:val="0"/>
          <w:caps w:val="0"/>
          <w:color w:val="000000"/>
          <w:spacing w:val="0"/>
          <w:sz w:val="32"/>
          <w:szCs w:val="32"/>
        </w:rPr>
        <w:t>法治思想</w:t>
      </w:r>
    </w:p>
    <w:p w14:paraId="4959F36B">
      <w:pPr>
        <w:keepNext w:val="0"/>
        <w:keepLines w:val="0"/>
        <w:pageBreakBefore w:val="0"/>
        <w:widowControl/>
        <w:kinsoku/>
        <w:wordWrap/>
        <w:overflowPunct w:val="0"/>
        <w:topLinePunct w:val="0"/>
        <w:autoSpaceDE w:val="0"/>
        <w:autoSpaceDN w:val="0"/>
        <w:bidi w:val="0"/>
        <w:adjustRightInd w:val="0"/>
        <w:snapToGrid w:val="0"/>
        <w:spacing w:before="0" w:after="0" w:line="560" w:lineRule="exact"/>
        <w:ind w:left="0" w:firstLine="640"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黑体" w:hAnsi="黑体" w:eastAsia="黑体" w:cs="黑体"/>
          <w:i w:val="0"/>
          <w:iCs w:val="0"/>
          <w:caps w:val="0"/>
          <w:color w:val="000000"/>
          <w:spacing w:val="0"/>
          <w:sz w:val="32"/>
          <w:szCs w:val="32"/>
          <w:lang w:val="en-US" w:eastAsia="zh-CN"/>
        </w:rPr>
        <w:t>1.</w:t>
      </w:r>
      <w:r>
        <w:rPr>
          <w:rFonts w:hint="eastAsia" w:ascii="仿宋_GB2312" w:hAnsi="仿宋_GB2312" w:eastAsia="仿宋_GB2312" w:cs="仿宋_GB2312"/>
          <w:b/>
          <w:bCs/>
          <w:i w:val="0"/>
          <w:iCs w:val="0"/>
          <w:caps w:val="0"/>
          <w:color w:val="000000"/>
          <w:spacing w:val="0"/>
          <w:sz w:val="32"/>
          <w:szCs w:val="32"/>
        </w:rPr>
        <w:t>强化党员干部教育培训。</w:t>
      </w:r>
      <w:r>
        <w:rPr>
          <w:rFonts w:hint="eastAsia" w:ascii="仿宋_GB2312" w:hAnsi="仿宋_GB2312" w:eastAsia="仿宋_GB2312" w:cs="仿宋_GB2312"/>
          <w:i w:val="0"/>
          <w:iCs w:val="0"/>
          <w:caps w:val="0"/>
          <w:color w:val="000000"/>
          <w:spacing w:val="0"/>
          <w:sz w:val="32"/>
          <w:szCs w:val="32"/>
        </w:rPr>
        <w:t>将学习宣传贯彻习近平法治思想与学习贯彻习近平总书记视察天津重要讲话精神结合起来，深入领会精髓要义，全面贯彻实践要求，切实将习近平总书记殷殷嘱托全面贯彻落实到工作中。持续推动</w:t>
      </w:r>
      <w:r>
        <w:rPr>
          <w:rFonts w:hint="eastAsia" w:ascii="仿宋_GB2312" w:hAnsi="仿宋_GB2312" w:eastAsia="仿宋_GB2312" w:cs="仿宋_GB2312"/>
          <w:i w:val="0"/>
          <w:iCs w:val="0"/>
          <w:caps w:val="0"/>
          <w:color w:val="000000"/>
          <w:spacing w:val="0"/>
          <w:sz w:val="32"/>
          <w:szCs w:val="32"/>
          <w:lang w:val="en-US" w:eastAsia="zh-CN"/>
        </w:rPr>
        <w:t>街道</w:t>
      </w:r>
      <w:r>
        <w:rPr>
          <w:rFonts w:hint="eastAsia" w:ascii="仿宋_GB2312" w:hAnsi="仿宋_GB2312" w:eastAsia="仿宋_GB2312" w:cs="仿宋_GB2312"/>
          <w:i w:val="0"/>
          <w:iCs w:val="0"/>
          <w:caps w:val="0"/>
          <w:color w:val="000000"/>
          <w:spacing w:val="0"/>
          <w:sz w:val="32"/>
          <w:szCs w:val="32"/>
        </w:rPr>
        <w:t>党</w:t>
      </w:r>
      <w:r>
        <w:rPr>
          <w:rFonts w:hint="eastAsia" w:ascii="仿宋_GB2312" w:hAnsi="仿宋_GB2312" w:eastAsia="仿宋_GB2312" w:cs="仿宋_GB2312"/>
          <w:i w:val="0"/>
          <w:iCs w:val="0"/>
          <w:caps w:val="0"/>
          <w:color w:val="000000"/>
          <w:spacing w:val="0"/>
          <w:sz w:val="32"/>
          <w:szCs w:val="32"/>
          <w:lang w:val="en-US" w:eastAsia="zh-CN"/>
        </w:rPr>
        <w:t>工</w:t>
      </w:r>
      <w:r>
        <w:rPr>
          <w:rFonts w:hint="eastAsia" w:ascii="仿宋_GB2312" w:hAnsi="仿宋_GB2312" w:eastAsia="仿宋_GB2312" w:cs="仿宋_GB2312"/>
          <w:i w:val="0"/>
          <w:iCs w:val="0"/>
          <w:caps w:val="0"/>
          <w:color w:val="000000"/>
          <w:spacing w:val="0"/>
          <w:sz w:val="32"/>
          <w:szCs w:val="32"/>
        </w:rPr>
        <w:t>委理论学习中心组学习习近平法治思想常态化，</w:t>
      </w:r>
      <w:r>
        <w:rPr>
          <w:rFonts w:hint="eastAsia" w:ascii="仿宋_GB2312" w:hAnsi="仿宋_GB2312" w:eastAsia="仿宋_GB2312" w:cs="仿宋_GB2312"/>
          <w:i w:val="0"/>
          <w:iCs w:val="0"/>
          <w:caps w:val="0"/>
          <w:color w:val="000000"/>
          <w:spacing w:val="0"/>
          <w:sz w:val="32"/>
          <w:szCs w:val="32"/>
          <w:lang w:val="en-US" w:eastAsia="zh-CN"/>
        </w:rPr>
        <w:t>全年街道党工委</w:t>
      </w:r>
      <w:r>
        <w:rPr>
          <w:rFonts w:hint="eastAsia" w:ascii="仿宋_GB2312" w:hAnsi="仿宋_GB2312" w:eastAsia="仿宋_GB2312" w:cs="仿宋_GB2312"/>
          <w:i w:val="0"/>
          <w:iCs w:val="0"/>
          <w:caps w:val="0"/>
          <w:color w:val="000000"/>
          <w:spacing w:val="0"/>
          <w:sz w:val="32"/>
          <w:szCs w:val="32"/>
        </w:rPr>
        <w:t>理论学习中心组</w:t>
      </w:r>
      <w:r>
        <w:rPr>
          <w:rFonts w:hint="eastAsia" w:ascii="仿宋_GB2312" w:hAnsi="仿宋_GB2312" w:eastAsia="仿宋_GB2312" w:cs="仿宋_GB2312"/>
          <w:i w:val="0"/>
          <w:iCs w:val="0"/>
          <w:caps w:val="0"/>
          <w:color w:val="000000"/>
          <w:spacing w:val="0"/>
          <w:sz w:val="32"/>
          <w:szCs w:val="32"/>
          <w:lang w:val="en-US" w:eastAsia="zh-CN"/>
        </w:rPr>
        <w:t>学习12次，每次均安排有习近平法治思想内容。街道组织党员干部在</w:t>
      </w:r>
      <w:r>
        <w:rPr>
          <w:rFonts w:hint="eastAsia" w:ascii="仿宋_GB2312" w:hAnsi="仿宋_GB2312" w:eastAsia="仿宋_GB2312" w:cs="仿宋_GB2312"/>
          <w:i w:val="0"/>
          <w:iCs w:val="0"/>
          <w:caps w:val="0"/>
          <w:color w:val="000000"/>
          <w:spacing w:val="0"/>
          <w:sz w:val="32"/>
          <w:szCs w:val="32"/>
        </w:rPr>
        <w:t>“天津干部在线学习”平台开展</w:t>
      </w:r>
      <w:r>
        <w:rPr>
          <w:rFonts w:hint="eastAsia" w:ascii="仿宋_GB2312" w:hAnsi="仿宋_GB2312" w:eastAsia="仿宋_GB2312" w:cs="仿宋_GB2312"/>
          <w:i w:val="0"/>
          <w:iCs w:val="0"/>
          <w:caps w:val="0"/>
          <w:color w:val="000000"/>
          <w:spacing w:val="0"/>
          <w:sz w:val="32"/>
          <w:szCs w:val="32"/>
          <w:lang w:val="en-US" w:eastAsia="zh-CN"/>
        </w:rPr>
        <w:t>了</w:t>
      </w:r>
      <w:r>
        <w:rPr>
          <w:rFonts w:hint="eastAsia" w:ascii="仿宋_GB2312" w:hAnsi="仿宋_GB2312" w:eastAsia="仿宋_GB2312" w:cs="仿宋_GB2312"/>
          <w:i w:val="0"/>
          <w:iCs w:val="0"/>
          <w:caps w:val="0"/>
          <w:color w:val="000000"/>
          <w:spacing w:val="0"/>
          <w:sz w:val="32"/>
          <w:szCs w:val="32"/>
        </w:rPr>
        <w:t>习近平法治思想专题</w:t>
      </w:r>
      <w:r>
        <w:rPr>
          <w:rFonts w:hint="eastAsia" w:ascii="仿宋_GB2312" w:hAnsi="仿宋_GB2312" w:eastAsia="仿宋_GB2312" w:cs="仿宋_GB2312"/>
          <w:i w:val="0"/>
          <w:iCs w:val="0"/>
          <w:caps w:val="0"/>
          <w:color w:val="000000"/>
          <w:spacing w:val="0"/>
          <w:sz w:val="32"/>
          <w:szCs w:val="32"/>
          <w:lang w:val="en-US" w:eastAsia="zh-CN"/>
        </w:rPr>
        <w:t>学习和</w:t>
      </w:r>
      <w:r>
        <w:rPr>
          <w:rFonts w:hint="eastAsia" w:ascii="仿宋_GB2312" w:hAnsi="仿宋_GB2312" w:eastAsia="仿宋_GB2312" w:cs="仿宋_GB2312"/>
          <w:i w:val="0"/>
          <w:iCs w:val="0"/>
          <w:caps w:val="0"/>
          <w:color w:val="000000"/>
          <w:spacing w:val="0"/>
          <w:sz w:val="32"/>
          <w:szCs w:val="32"/>
        </w:rPr>
        <w:t>考试。</w:t>
      </w:r>
    </w:p>
    <w:p w14:paraId="3086DDFE">
      <w:pPr>
        <w:keepNext w:val="0"/>
        <w:keepLines w:val="0"/>
        <w:pageBreakBefore w:val="0"/>
        <w:widowControl/>
        <w:kinsoku/>
        <w:wordWrap/>
        <w:overflowPunct w:val="0"/>
        <w:topLinePunct w:val="0"/>
        <w:autoSpaceDE w:val="0"/>
        <w:autoSpaceDN w:val="0"/>
        <w:bidi w:val="0"/>
        <w:adjustRightInd w:val="0"/>
        <w:snapToGrid w:val="0"/>
        <w:spacing w:before="0" w:after="0" w:line="560" w:lineRule="exact"/>
        <w:ind w:left="0" w:firstLine="643" w:firstLineChars="200"/>
        <w:jc w:val="both"/>
        <w:textAlignment w:val="auto"/>
        <w:rPr>
          <w:rFonts w:hint="default"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2</w:t>
      </w:r>
      <w:r>
        <w:rPr>
          <w:rFonts w:hint="eastAsia" w:ascii="仿宋_GB2312" w:hAnsi="仿宋_GB2312" w:eastAsia="仿宋_GB2312" w:cs="仿宋_GB2312"/>
          <w:b/>
          <w:bCs/>
          <w:i w:val="0"/>
          <w:iCs w:val="0"/>
          <w:caps w:val="0"/>
          <w:color w:val="000000"/>
          <w:spacing w:val="0"/>
          <w:sz w:val="32"/>
          <w:szCs w:val="32"/>
        </w:rPr>
        <w:t>.广泛开展习近平法治思想宣传教育。</w:t>
      </w:r>
      <w:r>
        <w:rPr>
          <w:rFonts w:hint="eastAsia" w:ascii="仿宋_GB2312" w:hAnsi="仿宋_GB2312" w:eastAsia="仿宋_GB2312" w:cs="仿宋_GB2312"/>
          <w:i w:val="0"/>
          <w:iCs w:val="0"/>
          <w:caps w:val="0"/>
          <w:color w:val="000000"/>
          <w:spacing w:val="0"/>
          <w:sz w:val="32"/>
          <w:szCs w:val="32"/>
          <w:lang w:val="en-US" w:eastAsia="zh-CN"/>
        </w:rPr>
        <w:t>利用街</w:t>
      </w:r>
      <w:r>
        <w:rPr>
          <w:rFonts w:hint="eastAsia" w:ascii="仿宋_GB2312" w:hAnsi="仿宋_GB2312" w:eastAsia="仿宋_GB2312" w:cs="仿宋_GB2312"/>
          <w:i w:val="0"/>
          <w:iCs w:val="0"/>
          <w:caps w:val="0"/>
          <w:color w:val="000000"/>
          <w:spacing w:val="0"/>
          <w:sz w:val="32"/>
          <w:szCs w:val="32"/>
        </w:rPr>
        <w:t>法治广场、长廊、</w:t>
      </w:r>
      <w:r>
        <w:rPr>
          <w:rFonts w:hint="eastAsia" w:ascii="仿宋_GB2312" w:hAnsi="仿宋_GB2312" w:eastAsia="仿宋_GB2312" w:cs="仿宋_GB2312"/>
          <w:i w:val="0"/>
          <w:iCs w:val="0"/>
          <w:caps w:val="0"/>
          <w:color w:val="000000"/>
          <w:spacing w:val="0"/>
          <w:sz w:val="32"/>
          <w:szCs w:val="32"/>
          <w:lang w:val="en-US" w:eastAsia="zh-CN"/>
        </w:rPr>
        <w:t>橱窗</w:t>
      </w:r>
      <w:r>
        <w:rPr>
          <w:rFonts w:hint="eastAsia" w:ascii="仿宋_GB2312" w:hAnsi="仿宋_GB2312" w:eastAsia="仿宋_GB2312" w:cs="仿宋_GB2312"/>
          <w:i w:val="0"/>
          <w:iCs w:val="0"/>
          <w:caps w:val="0"/>
          <w:color w:val="000000"/>
          <w:spacing w:val="0"/>
          <w:sz w:val="32"/>
          <w:szCs w:val="32"/>
        </w:rPr>
        <w:t>等传统基层普法阵地和平台建设，充分发挥普法讲师团等法治宣传队伍，在国家</w:t>
      </w:r>
      <w:r>
        <w:rPr>
          <w:rFonts w:hint="eastAsia" w:ascii="仿宋_GB2312" w:hAnsi="仿宋_GB2312" w:eastAsia="仿宋_GB2312" w:cs="仿宋_GB2312"/>
          <w:i w:val="0"/>
          <w:iCs w:val="0"/>
          <w:caps w:val="0"/>
          <w:color w:val="000000"/>
          <w:spacing w:val="0"/>
          <w:sz w:val="32"/>
          <w:szCs w:val="32"/>
          <w:lang w:val="en-US" w:eastAsia="zh-CN"/>
        </w:rPr>
        <w:t>安全</w:t>
      </w:r>
      <w:r>
        <w:rPr>
          <w:rFonts w:hint="eastAsia" w:ascii="仿宋_GB2312" w:hAnsi="仿宋_GB2312" w:eastAsia="仿宋_GB2312" w:cs="仿宋_GB2312"/>
          <w:i w:val="0"/>
          <w:iCs w:val="0"/>
          <w:caps w:val="0"/>
          <w:color w:val="000000"/>
          <w:spacing w:val="0"/>
          <w:sz w:val="32"/>
          <w:szCs w:val="32"/>
        </w:rPr>
        <w:t>日</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lang w:val="en-US" w:eastAsia="zh-CN"/>
        </w:rPr>
        <w:t>禁毒宣传月</w:t>
      </w:r>
      <w:r>
        <w:rPr>
          <w:rFonts w:hint="eastAsia" w:ascii="仿宋_GB2312" w:hAnsi="仿宋_GB2312" w:eastAsia="仿宋_GB2312" w:cs="仿宋_GB2312"/>
          <w:i w:val="0"/>
          <w:iCs w:val="0"/>
          <w:caps w:val="0"/>
          <w:color w:val="000000"/>
          <w:spacing w:val="0"/>
          <w:sz w:val="32"/>
          <w:szCs w:val="32"/>
        </w:rPr>
        <w:t>等重要时间节点开展广泛宣传，</w:t>
      </w:r>
      <w:r>
        <w:rPr>
          <w:rFonts w:hint="eastAsia" w:ascii="仿宋_GB2312" w:hAnsi="仿宋_GB2312" w:eastAsia="仿宋_GB2312" w:cs="仿宋_GB2312"/>
          <w:i w:val="0"/>
          <w:iCs w:val="0"/>
          <w:caps w:val="0"/>
          <w:color w:val="000000"/>
          <w:spacing w:val="0"/>
          <w:sz w:val="32"/>
          <w:szCs w:val="32"/>
          <w:lang w:val="en-US" w:eastAsia="zh-CN"/>
        </w:rPr>
        <w:t>全年街道开展大型法治宣传活动3次，</w:t>
      </w:r>
      <w:r>
        <w:rPr>
          <w:rFonts w:hint="eastAsia" w:ascii="仿宋_GB2312" w:hAnsi="仿宋_GB2312" w:eastAsia="仿宋_GB2312" w:cs="仿宋_GB2312"/>
          <w:i w:val="0"/>
          <w:iCs w:val="0"/>
          <w:caps w:val="0"/>
          <w:color w:val="000000"/>
          <w:spacing w:val="0"/>
          <w:sz w:val="32"/>
          <w:szCs w:val="32"/>
        </w:rPr>
        <w:t>推动习近平法治思想进社区、进机关、进企业</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lang w:val="en-US" w:eastAsia="zh-CN"/>
        </w:rPr>
        <w:t>各社区开展法治宣传活动12次。</w:t>
      </w:r>
    </w:p>
    <w:p w14:paraId="2CB9E61A">
      <w:pPr>
        <w:keepNext w:val="0"/>
        <w:keepLines w:val="0"/>
        <w:pageBreakBefore w:val="0"/>
        <w:widowControl/>
        <w:kinsoku/>
        <w:wordWrap/>
        <w:overflowPunct w:val="0"/>
        <w:topLinePunct w:val="0"/>
        <w:autoSpaceDE w:val="0"/>
        <w:autoSpaceDN w:val="0"/>
        <w:bidi w:val="0"/>
        <w:adjustRightInd w:val="0"/>
        <w:snapToGrid w:val="0"/>
        <w:spacing w:before="0" w:after="0" w:line="560" w:lineRule="exact"/>
        <w:ind w:left="0" w:firstLine="643" w:firstLineChars="200"/>
        <w:jc w:val="both"/>
        <w:textAlignment w:val="auto"/>
        <w:rPr>
          <w:rFonts w:hint="eastAsia" w:ascii="仿宋_GB2312" w:hAnsi="仿宋_GB2312" w:eastAsia="仿宋_GB2312" w:cs="仿宋_GB2312"/>
          <w:b/>
          <w:bCs/>
          <w:kern w:val="0"/>
          <w:sz w:val="32"/>
          <w:szCs w:val="32"/>
          <w:lang w:val="en-US" w:eastAsia="en-US"/>
        </w:rPr>
      </w:pPr>
      <w:r>
        <w:rPr>
          <w:rFonts w:hint="eastAsia" w:ascii="仿宋_GB2312" w:hAnsi="仿宋_GB2312" w:eastAsia="仿宋_GB2312" w:cs="仿宋_GB2312"/>
          <w:b/>
          <w:bCs/>
          <w:kern w:val="0"/>
          <w:sz w:val="32"/>
          <w:szCs w:val="32"/>
          <w:lang w:eastAsia="zh-CN"/>
        </w:rPr>
        <w:t>（</w:t>
      </w:r>
      <w:r>
        <w:rPr>
          <w:rFonts w:hint="eastAsia" w:ascii="仿宋_GB2312" w:hAnsi="仿宋_GB2312" w:eastAsia="仿宋_GB2312" w:cs="仿宋_GB2312"/>
          <w:b/>
          <w:bCs/>
          <w:kern w:val="0"/>
          <w:sz w:val="32"/>
          <w:szCs w:val="32"/>
          <w:lang w:val="en-US" w:eastAsia="zh-CN"/>
        </w:rPr>
        <w:t>二</w:t>
      </w:r>
      <w:r>
        <w:rPr>
          <w:rFonts w:hint="eastAsia" w:ascii="仿宋_GB2312" w:hAnsi="仿宋_GB2312" w:eastAsia="仿宋_GB2312" w:cs="仿宋_GB2312"/>
          <w:b/>
          <w:bCs/>
          <w:kern w:val="0"/>
          <w:sz w:val="32"/>
          <w:szCs w:val="32"/>
          <w:lang w:eastAsia="zh-CN"/>
        </w:rPr>
        <w:t>）</w:t>
      </w:r>
      <w:r>
        <w:rPr>
          <w:rFonts w:hint="eastAsia" w:ascii="仿宋_GB2312" w:hAnsi="仿宋_GB2312" w:eastAsia="仿宋_GB2312" w:cs="仿宋_GB2312"/>
          <w:b/>
          <w:bCs/>
          <w:kern w:val="0"/>
          <w:sz w:val="32"/>
          <w:szCs w:val="32"/>
          <w:lang w:eastAsia="en-US"/>
        </w:rPr>
        <w:t>健全完善党对全面依法治区的领导</w:t>
      </w:r>
    </w:p>
    <w:p w14:paraId="3B36C5B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rPr>
      </w:pPr>
      <w:r>
        <w:rPr>
          <w:rFonts w:hint="eastAsia" w:ascii="仿宋_GB2312" w:hAnsi="仿宋_GB2312" w:eastAsia="仿宋_GB2312" w:cs="仿宋_GB2312"/>
          <w:b/>
          <w:bCs/>
          <w:i w:val="0"/>
          <w:iCs w:val="0"/>
          <w:caps w:val="0"/>
          <w:color w:val="000000"/>
          <w:spacing w:val="0"/>
          <w:sz w:val="32"/>
          <w:szCs w:val="32"/>
          <w:lang w:val="en-US" w:eastAsia="zh-CN"/>
        </w:rPr>
        <w:t>1</w:t>
      </w:r>
      <w:r>
        <w:rPr>
          <w:rFonts w:hint="eastAsia" w:ascii="仿宋_GB2312" w:hAnsi="仿宋_GB2312" w:eastAsia="仿宋_GB2312" w:cs="仿宋_GB2312"/>
          <w:b/>
          <w:bCs/>
          <w:i w:val="0"/>
          <w:iCs w:val="0"/>
          <w:caps w:val="0"/>
          <w:color w:val="000000"/>
          <w:spacing w:val="0"/>
          <w:sz w:val="32"/>
          <w:szCs w:val="32"/>
        </w:rPr>
        <w:t>.完善基层法治建设机制</w:t>
      </w:r>
      <w:r>
        <w:rPr>
          <w:rFonts w:hint="eastAsia" w:ascii="仿宋_GB2312" w:hAnsi="仿宋_GB2312" w:eastAsia="仿宋_GB2312" w:cs="仿宋_GB2312"/>
          <w:i w:val="0"/>
          <w:iCs w:val="0"/>
          <w:caps w:val="0"/>
          <w:color w:val="000000"/>
          <w:spacing w:val="0"/>
          <w:sz w:val="32"/>
          <w:szCs w:val="32"/>
        </w:rPr>
        <w:t>。街道在党工委的领导下，将法治建设纳入</w:t>
      </w:r>
      <w:r>
        <w:rPr>
          <w:rFonts w:hint="eastAsia" w:ascii="仿宋_GB2312" w:hAnsi="仿宋_GB2312" w:eastAsia="仿宋_GB2312" w:cs="仿宋_GB2312"/>
          <w:i w:val="0"/>
          <w:iCs w:val="0"/>
          <w:caps w:val="0"/>
          <w:color w:val="000000"/>
          <w:spacing w:val="0"/>
          <w:sz w:val="32"/>
          <w:szCs w:val="32"/>
          <w:lang w:val="en-US" w:eastAsia="zh-CN"/>
        </w:rPr>
        <w:t>了</w:t>
      </w:r>
      <w:r>
        <w:rPr>
          <w:rFonts w:hint="eastAsia" w:ascii="仿宋_GB2312" w:hAnsi="仿宋_GB2312" w:eastAsia="仿宋_GB2312" w:cs="仿宋_GB2312"/>
          <w:i w:val="0"/>
          <w:iCs w:val="0"/>
          <w:caps w:val="0"/>
          <w:color w:val="000000"/>
          <w:spacing w:val="0"/>
          <w:sz w:val="32"/>
          <w:szCs w:val="32"/>
        </w:rPr>
        <w:t>年度工作计划和基层治理总体格局，</w:t>
      </w:r>
      <w:r>
        <w:rPr>
          <w:rFonts w:hint="eastAsia" w:ascii="仿宋_GB2312" w:hAnsi="仿宋_GB2312" w:eastAsia="仿宋_GB2312" w:cs="仿宋_GB2312"/>
          <w:i w:val="0"/>
          <w:iCs w:val="0"/>
          <w:caps w:val="0"/>
          <w:color w:val="000000"/>
          <w:spacing w:val="0"/>
          <w:sz w:val="32"/>
          <w:szCs w:val="32"/>
          <w:lang w:val="en-US" w:eastAsia="zh-CN"/>
        </w:rPr>
        <w:t>今年以来街道领导班子召开法治工作会议三次。</w:t>
      </w:r>
      <w:r>
        <w:rPr>
          <w:rFonts w:hint="eastAsia" w:ascii="仿宋_GB2312" w:hAnsi="仿宋_GB2312" w:eastAsia="仿宋_GB2312" w:cs="仿宋_GB2312"/>
          <w:i w:val="0"/>
          <w:iCs w:val="0"/>
          <w:caps w:val="0"/>
          <w:color w:val="000000"/>
          <w:spacing w:val="0"/>
          <w:sz w:val="32"/>
          <w:szCs w:val="32"/>
        </w:rPr>
        <w:t>整合资源和力量，强化统筹与协调，确保法治建设任务全面落实落细。</w:t>
      </w:r>
      <w:r>
        <w:rPr>
          <w:rFonts w:hint="eastAsia" w:ascii="黑体" w:hAnsi="黑体" w:eastAsia="黑体" w:cs="黑体"/>
          <w:i w:val="0"/>
          <w:iCs w:val="0"/>
          <w:caps w:val="0"/>
          <w:color w:val="000000"/>
          <w:spacing w:val="0"/>
          <w:sz w:val="32"/>
          <w:szCs w:val="32"/>
        </w:rPr>
        <w:br w:type="textWrapping"/>
      </w:r>
      <w:r>
        <w:rPr>
          <w:rFonts w:hint="eastAsia" w:ascii="黑体" w:hAnsi="黑体" w:eastAsia="黑体" w:cs="黑体"/>
          <w:i w:val="0"/>
          <w:iCs w:val="0"/>
          <w:caps w:val="0"/>
          <w:color w:val="000000"/>
          <w:spacing w:val="0"/>
          <w:sz w:val="32"/>
          <w:szCs w:val="32"/>
          <w:lang w:val="en-US" w:eastAsia="zh-CN"/>
        </w:rPr>
        <w:t xml:space="preserve">    2</w:t>
      </w:r>
      <w:r>
        <w:rPr>
          <w:rFonts w:hint="eastAsia" w:ascii="仿宋_GB2312" w:hAnsi="仿宋_GB2312" w:eastAsia="仿宋_GB2312" w:cs="仿宋_GB2312"/>
          <w:b/>
          <w:bCs/>
          <w:i w:val="0"/>
          <w:iCs w:val="0"/>
          <w:caps w:val="0"/>
          <w:color w:val="000000"/>
          <w:spacing w:val="0"/>
          <w:sz w:val="32"/>
          <w:szCs w:val="32"/>
        </w:rPr>
        <w:t>.夯实法治建设责任。</w:t>
      </w:r>
      <w:r>
        <w:rPr>
          <w:rFonts w:hint="eastAsia" w:ascii="仿宋_GB2312" w:hAnsi="仿宋_GB2312" w:eastAsia="仿宋_GB2312" w:cs="仿宋_GB2312"/>
          <w:i w:val="0"/>
          <w:iCs w:val="0"/>
          <w:caps w:val="0"/>
          <w:color w:val="000000"/>
          <w:spacing w:val="0"/>
          <w:sz w:val="32"/>
          <w:szCs w:val="32"/>
        </w:rPr>
        <w:t>进一步压实党政主要负责人履行推进法治建设第一责任人职责。落实《东丽区关于加强领导干部法治素养和依法履职情况考评工作实施意见（试行）》部署要求，把法治素养和依法履职情况作为考核评价干部的重要内容，健全完善法治建设考评机制，加大法治考评力度，强化考评结果运用，引导党员领导干部法治素养和依法履职能力提升。</w:t>
      </w:r>
    </w:p>
    <w:p w14:paraId="38E2B67D">
      <w:pPr>
        <w:keepNext w:val="0"/>
        <w:keepLines w:val="0"/>
        <w:pageBreakBefore w:val="0"/>
        <w:widowControl/>
        <w:suppressLineNumbers w:val="0"/>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b/>
          <w:bCs/>
          <w:kern w:val="0"/>
          <w:sz w:val="32"/>
          <w:szCs w:val="32"/>
          <w:lang w:eastAsia="zh-CN"/>
        </w:rPr>
        <w:t>（</w:t>
      </w:r>
      <w:r>
        <w:rPr>
          <w:rFonts w:hint="eastAsia" w:ascii="仿宋_GB2312" w:hAnsi="仿宋_GB2312" w:eastAsia="仿宋_GB2312" w:cs="仿宋_GB2312"/>
          <w:b/>
          <w:bCs/>
          <w:kern w:val="0"/>
          <w:sz w:val="32"/>
          <w:szCs w:val="32"/>
          <w:lang w:val="en-US" w:eastAsia="zh-CN"/>
        </w:rPr>
        <w:t>三</w:t>
      </w:r>
      <w:r>
        <w:rPr>
          <w:rFonts w:hint="eastAsia" w:ascii="仿宋_GB2312" w:hAnsi="仿宋_GB2312" w:eastAsia="仿宋_GB2312" w:cs="仿宋_GB2312"/>
          <w:b/>
          <w:bCs/>
          <w:kern w:val="0"/>
          <w:sz w:val="32"/>
          <w:szCs w:val="32"/>
          <w:lang w:eastAsia="zh-CN"/>
        </w:rPr>
        <w:t>）推进</w:t>
      </w:r>
      <w:r>
        <w:rPr>
          <w:rFonts w:hint="eastAsia" w:ascii="仿宋_GB2312" w:hAnsi="仿宋_GB2312" w:eastAsia="仿宋_GB2312" w:cs="仿宋_GB2312"/>
          <w:b/>
          <w:bCs/>
          <w:kern w:val="0"/>
          <w:sz w:val="32"/>
          <w:szCs w:val="32"/>
          <w:lang w:val="en-US" w:eastAsia="zh-CN"/>
        </w:rPr>
        <w:t>全街</w:t>
      </w:r>
      <w:r>
        <w:rPr>
          <w:rFonts w:hint="eastAsia" w:ascii="仿宋_GB2312" w:hAnsi="仿宋_GB2312" w:eastAsia="仿宋_GB2312" w:cs="仿宋_GB2312"/>
          <w:b/>
          <w:bCs/>
          <w:kern w:val="0"/>
          <w:sz w:val="32"/>
          <w:szCs w:val="32"/>
          <w:lang w:eastAsia="zh-CN"/>
        </w:rPr>
        <w:t>经济发展在法治轨道上运行</w:t>
      </w:r>
      <w:r>
        <w:rPr>
          <w:rFonts w:hint="eastAsia" w:ascii="黑体" w:hAnsi="黑体" w:eastAsia="黑体" w:cs="黑体"/>
          <w:i w:val="0"/>
          <w:iCs w:val="0"/>
          <w:caps w:val="0"/>
          <w:color w:val="000000"/>
          <w:spacing w:val="0"/>
          <w:sz w:val="32"/>
          <w:szCs w:val="32"/>
        </w:rPr>
        <w:br w:type="textWrapping"/>
      </w:r>
      <w:r>
        <w:rPr>
          <w:rFonts w:hint="eastAsia" w:ascii="仿宋_GB2312" w:hAnsi="仿宋_GB2312" w:eastAsia="仿宋_GB2312" w:cs="仿宋_GB2312"/>
          <w:i w:val="0"/>
          <w:iCs w:val="0"/>
          <w:caps w:val="0"/>
          <w:color w:val="000000"/>
          <w:spacing w:val="0"/>
          <w:sz w:val="32"/>
          <w:szCs w:val="32"/>
          <w:lang w:val="en-US" w:eastAsia="zh-CN"/>
        </w:rPr>
        <w:t xml:space="preserve">    </w:t>
      </w:r>
      <w:r>
        <w:rPr>
          <w:rFonts w:hint="eastAsia" w:ascii="仿宋_GB2312" w:hAnsi="仿宋_GB2312" w:eastAsia="仿宋_GB2312" w:cs="仿宋_GB2312"/>
          <w:b/>
          <w:bCs/>
          <w:i w:val="0"/>
          <w:iCs w:val="0"/>
          <w:caps w:val="0"/>
          <w:color w:val="000000"/>
          <w:spacing w:val="0"/>
          <w:sz w:val="32"/>
          <w:szCs w:val="32"/>
          <w:lang w:val="en-US" w:eastAsia="zh-CN"/>
        </w:rPr>
        <w:t>1</w:t>
      </w:r>
      <w:r>
        <w:rPr>
          <w:rFonts w:hint="eastAsia" w:ascii="仿宋_GB2312" w:hAnsi="仿宋_GB2312" w:eastAsia="仿宋_GB2312" w:cs="仿宋_GB2312"/>
          <w:b/>
          <w:bCs/>
          <w:i w:val="0"/>
          <w:iCs w:val="0"/>
          <w:caps w:val="0"/>
          <w:color w:val="000000"/>
          <w:spacing w:val="0"/>
          <w:sz w:val="32"/>
          <w:szCs w:val="32"/>
        </w:rPr>
        <w:t>.在护航高质量发展上善作善成</w:t>
      </w:r>
      <w:r>
        <w:rPr>
          <w:rFonts w:hint="eastAsia" w:ascii="仿宋_GB2312" w:hAnsi="仿宋_GB2312" w:eastAsia="仿宋_GB2312" w:cs="仿宋_GB2312"/>
          <w:i w:val="0"/>
          <w:iCs w:val="0"/>
          <w:caps w:val="0"/>
          <w:color w:val="000000"/>
          <w:spacing w:val="0"/>
          <w:sz w:val="32"/>
          <w:szCs w:val="32"/>
        </w:rPr>
        <w:t>。推进</w:t>
      </w:r>
      <w:r>
        <w:rPr>
          <w:rFonts w:hint="eastAsia" w:ascii="仿宋_GB2312" w:hAnsi="仿宋_GB2312" w:eastAsia="仿宋_GB2312" w:cs="仿宋_GB2312"/>
          <w:i w:val="0"/>
          <w:iCs w:val="0"/>
          <w:caps w:val="0"/>
          <w:color w:val="000000"/>
          <w:spacing w:val="0"/>
          <w:sz w:val="32"/>
          <w:szCs w:val="32"/>
          <w:lang w:val="en-US" w:eastAsia="zh-CN"/>
        </w:rPr>
        <w:t>全街</w:t>
      </w:r>
      <w:r>
        <w:rPr>
          <w:rFonts w:hint="eastAsia" w:ascii="仿宋_GB2312" w:hAnsi="仿宋_GB2312" w:eastAsia="仿宋_GB2312" w:cs="仿宋_GB2312"/>
          <w:i w:val="0"/>
          <w:iCs w:val="0"/>
          <w:caps w:val="0"/>
          <w:color w:val="000000"/>
          <w:spacing w:val="0"/>
          <w:sz w:val="32"/>
          <w:szCs w:val="32"/>
        </w:rPr>
        <w:t>经济发展在法治轨道上运行。加强反垄断、反不正当竞争执法</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rPr>
        <w:t>落实支持民营经济发展政策措施。强化各类市场主体合法权益保护，以良好法治环境稳市场、稳预期、稳人心。</w:t>
      </w:r>
      <w:r>
        <w:rPr>
          <w:rFonts w:hint="eastAsia" w:ascii="Times New Roman" w:hAnsi="Times New Roman" w:eastAsia="仿宋_GB2312" w:cs="Times New Roman"/>
          <w:sz w:val="32"/>
          <w:szCs w:val="32"/>
          <w:lang w:val="en-US" w:eastAsia="zh-CN"/>
        </w:rPr>
        <w:t>聚焦优化营商环境，全面把脉，精准纾困，了解企业当前存在的堵点、难点问题。</w:t>
      </w:r>
    </w:p>
    <w:p w14:paraId="3FF595F0">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3" w:firstLineChars="200"/>
        <w:jc w:val="both"/>
        <w:textAlignment w:val="auto"/>
        <w:rPr>
          <w:rFonts w:hint="eastAsia" w:ascii="Times New Roman" w:hAnsi="Times New Roman" w:eastAsia="仿宋_GB2312" w:cs="Times New Roman"/>
          <w:color w:val="auto"/>
          <w:spacing w:val="-11"/>
          <w:sz w:val="32"/>
          <w:szCs w:val="32"/>
          <w:shd w:val="clear" w:color="auto" w:fill="auto"/>
          <w:lang w:val="en" w:eastAsia="zh-CN"/>
        </w:rPr>
      </w:pPr>
      <w:r>
        <w:rPr>
          <w:rFonts w:hint="eastAsia" w:ascii="仿宋_GB2312" w:hAnsi="仿宋_GB2312" w:eastAsia="仿宋_GB2312" w:cs="仿宋_GB2312"/>
          <w:b/>
          <w:bCs/>
          <w:i w:val="0"/>
          <w:iCs w:val="0"/>
          <w:caps w:val="0"/>
          <w:color w:val="000000"/>
          <w:spacing w:val="0"/>
          <w:sz w:val="32"/>
          <w:szCs w:val="32"/>
          <w:lang w:val="en-US" w:eastAsia="zh-CN"/>
        </w:rPr>
        <w:t>2</w:t>
      </w:r>
      <w:r>
        <w:rPr>
          <w:rFonts w:hint="eastAsia" w:ascii="仿宋_GB2312" w:hAnsi="仿宋_GB2312" w:eastAsia="仿宋_GB2312" w:cs="仿宋_GB2312"/>
          <w:b/>
          <w:bCs/>
          <w:i w:val="0"/>
          <w:iCs w:val="0"/>
          <w:caps w:val="0"/>
          <w:color w:val="000000"/>
          <w:spacing w:val="0"/>
          <w:sz w:val="32"/>
          <w:szCs w:val="32"/>
        </w:rPr>
        <w:t>.在服务全面深化改革开放上善作善成。</w:t>
      </w:r>
      <w:r>
        <w:rPr>
          <w:rFonts w:hint="eastAsia" w:ascii="Times New Roman" w:hAnsi="Times New Roman" w:eastAsia="仿宋_GB2312" w:cs="仿宋_GB2312"/>
          <w:color w:val="auto"/>
          <w:sz w:val="32"/>
          <w:szCs w:val="32"/>
          <w:lang w:val="en-US" w:eastAsia="zh-CN"/>
        </w:rPr>
        <w:t>积极服务企业、项目发展，积极开展“政企同行</w:t>
      </w:r>
      <w:r>
        <w:rPr>
          <w:rFonts w:hint="eastAsia" w:ascii="汉仪大黑简" w:hAnsi="汉仪大黑简" w:eastAsia="汉仪大黑简" w:cs="汉仪大黑简"/>
          <w:color w:val="auto"/>
          <w:sz w:val="32"/>
          <w:szCs w:val="32"/>
          <w:lang w:val="en-US" w:eastAsia="zh-CN"/>
        </w:rPr>
        <w:t>·</w:t>
      </w:r>
      <w:r>
        <w:rPr>
          <w:rFonts w:hint="eastAsia" w:ascii="Times New Roman" w:hAnsi="Times New Roman" w:eastAsia="仿宋_GB2312" w:cs="仿宋_GB2312"/>
          <w:color w:val="auto"/>
          <w:sz w:val="32"/>
          <w:szCs w:val="32"/>
          <w:lang w:val="en-US" w:eastAsia="zh-CN"/>
        </w:rPr>
        <w:t>有需必应”工作，扩大为企服务覆盖面，提升为企服务水平，积极宣传惠企政策，助力企业科技、人才等创新发展，为企业、项目提供全方位、全周期服务。对企业面临的经营难题各个击破，深入首钢、海盛岚瑞、统建混凝土、亿雄建材市场等企业主体50余次，了解企业经营状况及发展需求，为建城协调线路归属、协助首钢申请服务业专项资金、为海盛岚瑞争取外贸政策、为相关企业对接玉湖项目、为中航等企业申报突出贡献企业、推荐玉湖项目申报政策性金融工具及中央预算内投资项目等，提升服务效果，为企纾困解难，</w:t>
      </w:r>
      <w:r>
        <w:rPr>
          <w:rFonts w:hint="eastAsia" w:ascii="Times New Roman" w:hAnsi="Times New Roman" w:eastAsia="仿宋_GB2312" w:cs="仿宋_GB2312"/>
          <w:sz w:val="32"/>
          <w:szCs w:val="32"/>
          <w:lang w:val="en-US" w:eastAsia="zh-CN"/>
        </w:rPr>
        <w:t>切实优化营商环境。</w:t>
      </w:r>
    </w:p>
    <w:p w14:paraId="5B6B057E">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lang w:val="en-US" w:eastAsia="zh-CN"/>
        </w:rPr>
        <w:t>3</w:t>
      </w:r>
      <w:r>
        <w:rPr>
          <w:rFonts w:hint="eastAsia" w:ascii="仿宋_GB2312" w:hAnsi="仿宋_GB2312" w:eastAsia="仿宋_GB2312" w:cs="仿宋_GB2312"/>
          <w:b/>
          <w:bCs/>
          <w:i w:val="0"/>
          <w:iCs w:val="0"/>
          <w:caps w:val="0"/>
          <w:color w:val="000000"/>
          <w:spacing w:val="0"/>
          <w:sz w:val="32"/>
          <w:szCs w:val="32"/>
        </w:rPr>
        <w:t>.在推动依法保障城市治理现代化上善作善成。</w:t>
      </w:r>
      <w:r>
        <w:rPr>
          <w:rFonts w:hint="eastAsia" w:ascii="仿宋_GB2312" w:hAnsi="仿宋_GB2312" w:eastAsia="仿宋_GB2312" w:cs="仿宋_GB2312"/>
          <w:i w:val="0"/>
          <w:iCs w:val="0"/>
          <w:caps w:val="0"/>
          <w:color w:val="000000"/>
          <w:spacing w:val="0"/>
          <w:sz w:val="32"/>
          <w:szCs w:val="32"/>
        </w:rPr>
        <w:t>深入实施党建引领基层治理行动，扎实推进“六治”工程。推进基层法律服务供给多元化、精准化、高效化。坚持和发展新时代“枫桥经验”、“浦江经验”，畅通和规范群众诉求表达、利益协调、权益保障通道，充分发挥社会矛盾纠纷调处化解中心作用，进一步加强综治中心规范化建设，有效提升社会矛盾纠纷预防化解能力。做实领导干部接访、下访、包案化解等机制，持续开展重复访、越级访治理工作，加快推进信访工作预防、受理、办理、监督追责、维护秩序“五个法治化”。</w:t>
      </w:r>
      <w:bookmarkStart w:id="0" w:name="OLE_LINK1"/>
    </w:p>
    <w:p w14:paraId="40218DE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2025年，</w:t>
      </w:r>
      <w:r>
        <w:rPr>
          <w:rFonts w:hint="eastAsia" w:ascii="仿宋_GB2312" w:hAnsi="仿宋_GB2312" w:eastAsia="仿宋_GB2312" w:cs="仿宋_GB2312"/>
          <w:i w:val="0"/>
          <w:iCs w:val="0"/>
          <w:caps w:val="0"/>
          <w:color w:val="000000"/>
          <w:spacing w:val="0"/>
          <w:sz w:val="32"/>
          <w:szCs w:val="32"/>
          <w:lang w:val="en-US" w:eastAsia="zh-CN"/>
        </w:rPr>
        <w:t>我街圆</w:t>
      </w:r>
      <w:r>
        <w:rPr>
          <w:rFonts w:hint="eastAsia" w:ascii="仿宋_GB2312" w:hAnsi="仿宋_GB2312" w:eastAsia="仿宋_GB2312" w:cs="仿宋_GB2312"/>
          <w:i w:val="0"/>
          <w:iCs w:val="0"/>
          <w:caps w:val="0"/>
          <w:color w:val="000000"/>
          <w:spacing w:val="0"/>
          <w:sz w:val="32"/>
          <w:szCs w:val="32"/>
        </w:rPr>
        <w:t>满完成了综治中心试点建设，按照天津市乡镇（街道）综治中心规范化建设工作指引，综治中心已实现“五有”目标，基本完成规范化建设。常驻部门有军粮城派出所、信访办、司法所、公共安全办。同时，城建办等10个职能科室作为轮驻部门。</w:t>
      </w:r>
      <w:r>
        <w:rPr>
          <w:rFonts w:hint="eastAsia" w:ascii="仿宋_GB2312" w:hAnsi="仿宋_GB2312" w:eastAsia="仿宋_GB2312" w:cs="仿宋_GB2312"/>
          <w:i w:val="0"/>
          <w:iCs w:val="0"/>
          <w:caps w:val="0"/>
          <w:color w:val="000000"/>
          <w:spacing w:val="0"/>
          <w:sz w:val="32"/>
          <w:szCs w:val="32"/>
          <w:lang w:val="en-US" w:eastAsia="zh-CN"/>
        </w:rPr>
        <w:t>今年</w:t>
      </w:r>
      <w:r>
        <w:rPr>
          <w:rFonts w:hint="eastAsia" w:ascii="仿宋_GB2312" w:hAnsi="仿宋_GB2312" w:eastAsia="仿宋_GB2312" w:cs="仿宋_GB2312"/>
          <w:i w:val="0"/>
          <w:iCs w:val="0"/>
          <w:caps w:val="0"/>
          <w:color w:val="000000"/>
          <w:spacing w:val="0"/>
          <w:sz w:val="32"/>
          <w:szCs w:val="32"/>
        </w:rPr>
        <w:t>军粮城街道综治中心已</w:t>
      </w:r>
      <w:r>
        <w:rPr>
          <w:rFonts w:hint="eastAsia" w:ascii="仿宋_GB2312" w:hAnsi="仿宋_GB2312" w:eastAsia="仿宋_GB2312" w:cs="仿宋_GB2312"/>
          <w:i w:val="0"/>
          <w:iCs w:val="0"/>
          <w:caps w:val="0"/>
          <w:color w:val="000000"/>
          <w:spacing w:val="0"/>
          <w:sz w:val="32"/>
          <w:szCs w:val="32"/>
          <w:lang w:val="en-US" w:eastAsia="zh-CN"/>
        </w:rPr>
        <w:t>来访</w:t>
      </w:r>
      <w:r>
        <w:rPr>
          <w:rFonts w:hint="eastAsia" w:ascii="仿宋_GB2312" w:hAnsi="仿宋_GB2312" w:eastAsia="仿宋_GB2312" w:cs="仿宋_GB2312"/>
          <w:i w:val="0"/>
          <w:iCs w:val="0"/>
          <w:caps w:val="0"/>
          <w:color w:val="000000"/>
          <w:spacing w:val="0"/>
          <w:sz w:val="32"/>
          <w:szCs w:val="32"/>
        </w:rPr>
        <w:t>登记197条，其中调解成功事项38条、引导进入法律程序5条、行政部门履职25条、导入信访事项98条、法律咨询事项10条，街道纠纷类警情同比2024年下降44.1%。</w:t>
      </w:r>
    </w:p>
    <w:p w14:paraId="407D3C4A">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春竹轩社区书记</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rPr>
        <w:t>亚楠调解室第一批试点社区负责人李学彤被天津市司法局、天津市人民调解协会评为“卓越风采人民调解员”，</w:t>
      </w:r>
      <w:r>
        <w:rPr>
          <w:rFonts w:hint="eastAsia" w:ascii="仿宋_GB2312" w:hAnsi="仿宋_GB2312" w:eastAsia="仿宋_GB2312" w:cs="仿宋_GB2312"/>
          <w:i w:val="0"/>
          <w:iCs w:val="0"/>
          <w:caps w:val="0"/>
          <w:color w:val="000000"/>
          <w:spacing w:val="0"/>
          <w:sz w:val="32"/>
          <w:szCs w:val="32"/>
          <w:lang w:val="en-US" w:eastAsia="zh-CN"/>
        </w:rPr>
        <w:t>街道</w:t>
      </w:r>
      <w:r>
        <w:rPr>
          <w:rFonts w:hint="eastAsia" w:ascii="仿宋_GB2312" w:hAnsi="仿宋_GB2312" w:eastAsia="仿宋_GB2312" w:cs="仿宋_GB2312"/>
          <w:i w:val="0"/>
          <w:iCs w:val="0"/>
          <w:caps w:val="0"/>
          <w:color w:val="000000"/>
          <w:spacing w:val="0"/>
          <w:sz w:val="32"/>
          <w:szCs w:val="32"/>
        </w:rPr>
        <w:t>综治中心副主任被推荐为“天津市维护社会安全稳定工作先进个人”。</w:t>
      </w:r>
    </w:p>
    <w:p w14:paraId="30478B3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rPr>
        <w:t>全方位做好信访维稳工作，落实落细信访法治化路线图，依法办访、依法化访、依法打击协同发力，推进化解疑难信访问题6件</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rPr>
        <w:t>依法打击违法信访人3人次，进京访35人次（含非访），同比2024年下降57.3%，高标准完成了上合天津峰会和庆祝抗日战争胜利80周年期间信访维稳工作，确保了社区（村）“两委”换届前期社会面安全稳定。</w:t>
      </w:r>
    </w:p>
    <w:bookmarkEnd w:id="0"/>
    <w:p w14:paraId="0CC4D357">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黑体" w:hAnsi="黑体" w:eastAsia="黑体" w:cs="黑体"/>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rPr>
        <w:t>强化人民调解、行政调解、司法调解工作，健全各类调解衔接机制。依法严厉打击各类违法犯罪活动，常态化开展扫黑除恶</w:t>
      </w:r>
      <w:r>
        <w:rPr>
          <w:rFonts w:hint="eastAsia" w:ascii="仿宋_GB2312" w:hAnsi="仿宋_GB2312" w:eastAsia="仿宋_GB2312" w:cs="仿宋_GB2312"/>
          <w:i w:val="0"/>
          <w:iCs w:val="0"/>
          <w:caps w:val="0"/>
          <w:color w:val="000000"/>
          <w:spacing w:val="0"/>
          <w:sz w:val="32"/>
          <w:szCs w:val="32"/>
          <w:lang w:eastAsia="zh-CN"/>
        </w:rPr>
        <w:t>专项</w:t>
      </w:r>
      <w:r>
        <w:rPr>
          <w:rFonts w:hint="eastAsia" w:ascii="仿宋_GB2312" w:hAnsi="仿宋_GB2312" w:eastAsia="仿宋_GB2312" w:cs="仿宋_GB2312"/>
          <w:i w:val="0"/>
          <w:iCs w:val="0"/>
          <w:caps w:val="0"/>
          <w:color w:val="000000"/>
          <w:spacing w:val="0"/>
          <w:sz w:val="32"/>
          <w:szCs w:val="32"/>
        </w:rPr>
        <w:t>斗争。</w:t>
      </w:r>
      <w:r>
        <w:rPr>
          <w:rFonts w:hint="eastAsia" w:ascii="仿宋_GB2312" w:hAnsi="仿宋_GB2312" w:eastAsia="仿宋_GB2312" w:cs="仿宋_GB2312"/>
          <w:b w:val="0"/>
          <w:i w:val="0"/>
          <w:caps w:val="0"/>
          <w:color w:val="000000"/>
          <w:spacing w:val="0"/>
          <w:kern w:val="0"/>
          <w:sz w:val="32"/>
          <w:szCs w:val="32"/>
          <w:shd w:val="clear" w:color="auto" w:fill="auto"/>
          <w:lang w:val="en-US" w:eastAsia="zh-CN" w:bidi="ar"/>
        </w:rPr>
        <w:t>把线索核查作为引导打击的关键环节，不断提高核查效率、提升核查质量。</w:t>
      </w:r>
    </w:p>
    <w:p w14:paraId="1A31B298">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lang w:val="en-US" w:eastAsia="zh-CN"/>
        </w:rPr>
        <w:t>（四）加快推进法治政府建设</w:t>
      </w:r>
      <w:r>
        <w:rPr>
          <w:rFonts w:hint="eastAsia" w:ascii="黑体" w:hAnsi="黑体" w:eastAsia="黑体" w:cs="黑体"/>
          <w:i w:val="0"/>
          <w:iCs w:val="0"/>
          <w:caps w:val="0"/>
          <w:color w:val="000000"/>
          <w:spacing w:val="0"/>
          <w:sz w:val="32"/>
          <w:szCs w:val="32"/>
        </w:rPr>
        <w:br w:type="textWrapping"/>
      </w:r>
      <w:r>
        <w:rPr>
          <w:rFonts w:hint="eastAsia" w:ascii="仿宋_GB2312" w:hAnsi="仿宋_GB2312" w:eastAsia="仿宋_GB2312" w:cs="仿宋_GB2312"/>
          <w:i w:val="0"/>
          <w:iCs w:val="0"/>
          <w:caps w:val="0"/>
          <w:color w:val="000000"/>
          <w:spacing w:val="0"/>
          <w:sz w:val="32"/>
          <w:szCs w:val="32"/>
          <w:lang w:val="en-US" w:eastAsia="zh-CN"/>
        </w:rPr>
        <w:t xml:space="preserve">    1</w:t>
      </w:r>
      <w:r>
        <w:rPr>
          <w:rFonts w:hint="eastAsia" w:ascii="仿宋_GB2312" w:hAnsi="仿宋_GB2312" w:eastAsia="仿宋_GB2312" w:cs="仿宋_GB2312"/>
          <w:b/>
          <w:bCs/>
          <w:i w:val="0"/>
          <w:iCs w:val="0"/>
          <w:caps w:val="0"/>
          <w:color w:val="000000"/>
          <w:spacing w:val="0"/>
          <w:sz w:val="32"/>
          <w:szCs w:val="32"/>
        </w:rPr>
        <w:t>.加大法治督察</w:t>
      </w:r>
      <w:r>
        <w:rPr>
          <w:rFonts w:hint="eastAsia" w:ascii="仿宋_GB2312" w:hAnsi="仿宋_GB2312" w:eastAsia="仿宋_GB2312" w:cs="仿宋_GB2312"/>
          <w:b/>
          <w:bCs/>
          <w:i w:val="0"/>
          <w:iCs w:val="0"/>
          <w:caps w:val="0"/>
          <w:color w:val="000000"/>
          <w:spacing w:val="0"/>
          <w:sz w:val="32"/>
          <w:szCs w:val="32"/>
          <w:lang w:val="en-US" w:eastAsia="zh-CN"/>
        </w:rPr>
        <w:t>整改</w:t>
      </w:r>
      <w:r>
        <w:rPr>
          <w:rFonts w:hint="eastAsia" w:ascii="仿宋_GB2312" w:hAnsi="仿宋_GB2312" w:eastAsia="仿宋_GB2312" w:cs="仿宋_GB2312"/>
          <w:b/>
          <w:bCs/>
          <w:i w:val="0"/>
          <w:iCs w:val="0"/>
          <w:caps w:val="0"/>
          <w:color w:val="000000"/>
          <w:spacing w:val="0"/>
          <w:sz w:val="32"/>
          <w:szCs w:val="32"/>
        </w:rPr>
        <w:t>工作力度。</w:t>
      </w:r>
      <w:r>
        <w:rPr>
          <w:rFonts w:hint="eastAsia" w:ascii="仿宋_GB2312" w:hAnsi="仿宋_GB2312" w:eastAsia="仿宋_GB2312" w:cs="仿宋_GB2312"/>
          <w:i w:val="0"/>
          <w:iCs w:val="0"/>
          <w:caps w:val="0"/>
          <w:color w:val="000000"/>
          <w:spacing w:val="0"/>
          <w:sz w:val="32"/>
          <w:szCs w:val="32"/>
        </w:rPr>
        <w:t>积极配合做好贯彻落实法治建设“一规划两纲要”情况中期评估反馈意见整改“回头看”工作，确保问题整改到位。</w:t>
      </w:r>
    </w:p>
    <w:p w14:paraId="2E70E3F3">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b/>
          <w:bCs/>
          <w:i w:val="0"/>
          <w:iCs w:val="0"/>
          <w:caps w:val="0"/>
          <w:color w:val="000000"/>
          <w:spacing w:val="0"/>
          <w:sz w:val="32"/>
          <w:szCs w:val="32"/>
          <w:lang w:val="en-US" w:eastAsia="zh-CN"/>
        </w:rPr>
        <w:t>2.</w:t>
      </w:r>
      <w:r>
        <w:rPr>
          <w:rFonts w:hint="eastAsia" w:ascii="仿宋_GB2312" w:hAnsi="仿宋_GB2312" w:eastAsia="仿宋_GB2312" w:cs="仿宋_GB2312"/>
          <w:b/>
          <w:bCs/>
          <w:i w:val="0"/>
          <w:iCs w:val="0"/>
          <w:caps w:val="0"/>
          <w:color w:val="000000"/>
          <w:spacing w:val="0"/>
          <w:sz w:val="32"/>
          <w:szCs w:val="32"/>
        </w:rPr>
        <w:t>依法规范政府职能履行。</w:t>
      </w:r>
      <w:r>
        <w:rPr>
          <w:rFonts w:hint="eastAsia" w:ascii="仿宋_GB2312" w:hAnsi="仿宋_GB2312" w:eastAsia="仿宋_GB2312" w:cs="仿宋_GB2312"/>
          <w:i w:val="0"/>
          <w:iCs w:val="0"/>
          <w:caps w:val="0"/>
          <w:color w:val="000000"/>
          <w:spacing w:val="0"/>
          <w:sz w:val="32"/>
          <w:szCs w:val="32"/>
        </w:rPr>
        <w:t>落实《国务院关于进一步优化政务服务提升行政效能推动“高效办成一件事”的指导意见》和《天津市关于进一步优化政务服务提升行政效能推动“高效办成一件事”的实施方案》，深入推动政务服务提质增效,在更多领域更大范围实现“高效办成一件事”。强化全</w:t>
      </w:r>
      <w:r>
        <w:rPr>
          <w:rFonts w:hint="eastAsia" w:ascii="仿宋_GB2312" w:hAnsi="仿宋_GB2312" w:eastAsia="仿宋_GB2312" w:cs="仿宋_GB2312"/>
          <w:i w:val="0"/>
          <w:iCs w:val="0"/>
          <w:caps w:val="0"/>
          <w:color w:val="000000"/>
          <w:spacing w:val="0"/>
          <w:sz w:val="32"/>
          <w:szCs w:val="32"/>
          <w:lang w:val="en-US" w:eastAsia="zh-CN"/>
        </w:rPr>
        <w:t>街</w:t>
      </w:r>
      <w:r>
        <w:rPr>
          <w:rFonts w:hint="eastAsia" w:ascii="仿宋_GB2312" w:hAnsi="仿宋_GB2312" w:eastAsia="仿宋_GB2312" w:cs="仿宋_GB2312"/>
          <w:i w:val="0"/>
          <w:iCs w:val="0"/>
          <w:caps w:val="0"/>
          <w:color w:val="000000"/>
          <w:spacing w:val="0"/>
          <w:sz w:val="32"/>
          <w:szCs w:val="32"/>
        </w:rPr>
        <w:t>政务公开工作。深入落实“双随机、一公开”监管机制和政府诚信履约投诉举报机制。加强法律顾问配备和培训，充分发挥法律顾问作用，服务法治政府建设。</w:t>
      </w:r>
    </w:p>
    <w:p w14:paraId="118B36AE">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_GB2312" w:eastAsia="仿宋_GB2312" w:cs="仿宋_GB2312"/>
          <w:i w:val="0"/>
          <w:iCs w:val="0"/>
          <w:caps w:val="0"/>
          <w:color w:val="000000"/>
          <w:spacing w:val="0"/>
          <w:sz w:val="32"/>
          <w:szCs w:val="32"/>
          <w:lang w:val="en-US" w:eastAsia="zh-CN"/>
        </w:rPr>
      </w:pPr>
      <w:r>
        <w:rPr>
          <w:rFonts w:hint="eastAsia" w:ascii="仿宋_GB2312" w:hAnsi="仿宋_GB2312" w:eastAsia="仿宋_GB2312" w:cs="仿宋_GB2312"/>
          <w:i w:val="0"/>
          <w:iCs w:val="0"/>
          <w:caps w:val="0"/>
          <w:color w:val="000000"/>
          <w:spacing w:val="0"/>
          <w:sz w:val="32"/>
          <w:szCs w:val="32"/>
          <w:lang w:val="en-US" w:eastAsia="zh-CN"/>
        </w:rPr>
        <w:t>今年</w:t>
      </w:r>
      <w:r>
        <w:rPr>
          <w:rFonts w:hint="eastAsia" w:ascii="仿宋_GB2312" w:hAnsi="仿宋_GB2312" w:eastAsia="仿宋_GB2312" w:cs="仿宋_GB2312"/>
          <w:i w:val="0"/>
          <w:iCs w:val="0"/>
          <w:caps w:val="0"/>
          <w:color w:val="000000"/>
          <w:spacing w:val="0"/>
          <w:sz w:val="32"/>
          <w:szCs w:val="32"/>
        </w:rPr>
        <w:t>我街</w:t>
      </w:r>
      <w:r>
        <w:rPr>
          <w:rFonts w:hint="eastAsia" w:ascii="仿宋_GB2312" w:hAnsi="仿宋_GB2312" w:eastAsia="仿宋_GB2312" w:cs="仿宋_GB2312"/>
          <w:i w:val="0"/>
          <w:iCs w:val="0"/>
          <w:caps w:val="0"/>
          <w:color w:val="000000"/>
          <w:spacing w:val="0"/>
          <w:sz w:val="32"/>
          <w:szCs w:val="32"/>
          <w:lang w:val="en-US" w:eastAsia="zh-CN"/>
        </w:rPr>
        <w:t>继续</w:t>
      </w:r>
      <w:r>
        <w:rPr>
          <w:rFonts w:hint="eastAsia" w:ascii="仿宋_GB2312" w:hAnsi="仿宋_GB2312" w:eastAsia="仿宋_GB2312" w:cs="仿宋_GB2312"/>
          <w:i w:val="0"/>
          <w:iCs w:val="0"/>
          <w:caps w:val="0"/>
          <w:color w:val="000000"/>
          <w:spacing w:val="0"/>
          <w:sz w:val="32"/>
          <w:szCs w:val="32"/>
        </w:rPr>
        <w:t>聘任天津</w:t>
      </w:r>
      <w:r>
        <w:rPr>
          <w:rFonts w:hint="eastAsia" w:ascii="仿宋_GB2312" w:hAnsi="仿宋_GB2312" w:eastAsia="仿宋_GB2312" w:cs="仿宋_GB2312"/>
          <w:i w:val="0"/>
          <w:iCs w:val="0"/>
          <w:caps w:val="0"/>
          <w:color w:val="000000"/>
          <w:spacing w:val="0"/>
          <w:sz w:val="32"/>
          <w:szCs w:val="32"/>
          <w:lang w:val="en-US" w:eastAsia="zh-CN"/>
        </w:rPr>
        <w:t>市</w:t>
      </w:r>
      <w:r>
        <w:rPr>
          <w:rFonts w:hint="eastAsia" w:ascii="仿宋_GB2312" w:hAnsi="仿宋_GB2312" w:eastAsia="仿宋_GB2312" w:cs="仿宋_GB2312"/>
          <w:i w:val="0"/>
          <w:iCs w:val="0"/>
          <w:caps w:val="0"/>
          <w:color w:val="000000"/>
          <w:spacing w:val="0"/>
          <w:sz w:val="32"/>
          <w:szCs w:val="32"/>
        </w:rPr>
        <w:t>双东律师事务所为法律顾问</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rPr>
        <w:t>切实为我街依法行政护航。法律顾问团队为我街行政管理方面的日常活动及重要决策提供相关的法制信息和咨询，提出法律意见和建议；参与草拟、修改、审核我街在行政管理活动中的有关法律事务文书；参与我街的经济、民事、行政纠纷的谈判、调解；协助并参与处理涉及我街的信访、行政复议等，适时提出处置的法律意见和建议；</w:t>
      </w:r>
      <w:r>
        <w:rPr>
          <w:rFonts w:hint="eastAsia" w:ascii="仿宋_GB2312" w:hAnsi="仿宋_GB2312" w:eastAsia="仿宋_GB2312" w:cs="仿宋_GB2312"/>
          <w:i w:val="0"/>
          <w:iCs w:val="0"/>
          <w:caps w:val="0"/>
          <w:color w:val="000000"/>
          <w:spacing w:val="0"/>
          <w:sz w:val="32"/>
          <w:szCs w:val="32"/>
          <w:lang w:val="en-US" w:eastAsia="zh-CN"/>
        </w:rPr>
        <w:t>全程参与各类行政诉讼和民事诉讼的全过程。</w:t>
      </w:r>
      <w:r>
        <w:rPr>
          <w:rFonts w:hint="eastAsia" w:ascii="仿宋_GB2312" w:hAnsi="仿宋_GB2312" w:eastAsia="仿宋_GB2312" w:cs="仿宋_GB2312"/>
          <w:i w:val="0"/>
          <w:iCs w:val="0"/>
          <w:caps w:val="0"/>
          <w:color w:val="000000"/>
          <w:spacing w:val="0"/>
          <w:sz w:val="32"/>
          <w:szCs w:val="32"/>
        </w:rPr>
        <w:t>202</w:t>
      </w:r>
      <w:r>
        <w:rPr>
          <w:rFonts w:hint="eastAsia" w:ascii="仿宋_GB2312" w:hAnsi="仿宋_GB2312" w:eastAsia="仿宋_GB2312" w:cs="仿宋_GB2312"/>
          <w:i w:val="0"/>
          <w:iCs w:val="0"/>
          <w:caps w:val="0"/>
          <w:color w:val="000000"/>
          <w:spacing w:val="0"/>
          <w:sz w:val="32"/>
          <w:szCs w:val="32"/>
          <w:lang w:val="en-US" w:eastAsia="zh-CN"/>
        </w:rPr>
        <w:t>5</w:t>
      </w:r>
      <w:r>
        <w:rPr>
          <w:rFonts w:hint="eastAsia" w:ascii="仿宋_GB2312" w:hAnsi="仿宋_GB2312" w:eastAsia="仿宋_GB2312" w:cs="仿宋_GB2312"/>
          <w:i w:val="0"/>
          <w:iCs w:val="0"/>
          <w:caps w:val="0"/>
          <w:color w:val="000000"/>
          <w:spacing w:val="0"/>
          <w:sz w:val="32"/>
          <w:szCs w:val="32"/>
        </w:rPr>
        <w:t>年法律顾问</w:t>
      </w:r>
      <w:r>
        <w:rPr>
          <w:rFonts w:hint="eastAsia" w:ascii="仿宋_GB2312" w:hAnsi="仿宋_GB2312" w:eastAsia="仿宋_GB2312" w:cs="仿宋_GB2312"/>
          <w:sz w:val="32"/>
          <w:szCs w:val="32"/>
        </w:rPr>
        <w:t>参与行政诉讼等工作</w:t>
      </w:r>
      <w:r>
        <w:rPr>
          <w:rFonts w:hint="eastAsia" w:ascii="仿宋_GB2312" w:hAnsi="仿宋_GB2312" w:eastAsia="仿宋_GB2312" w:cs="仿宋_GB2312"/>
          <w:sz w:val="32"/>
          <w:szCs w:val="32"/>
          <w:lang w:val="en-US" w:eastAsia="zh-CN"/>
        </w:rPr>
        <w:t>47</w:t>
      </w:r>
      <w:r>
        <w:rPr>
          <w:rFonts w:hint="eastAsia" w:ascii="仿宋_GB2312" w:hAnsi="仿宋_GB2312" w:eastAsia="仿宋_GB2312" w:cs="仿宋_GB2312"/>
          <w:sz w:val="32"/>
          <w:szCs w:val="32"/>
        </w:rPr>
        <w:t>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审核合同、协议等1</w:t>
      </w:r>
      <w:r>
        <w:rPr>
          <w:rFonts w:hint="eastAsia" w:ascii="仿宋_GB2312" w:hAnsi="仿宋_GB2312" w:eastAsia="仿宋_GB2312" w:cs="仿宋_GB2312"/>
          <w:sz w:val="32"/>
          <w:szCs w:val="32"/>
          <w:lang w:val="en-US" w:eastAsia="zh-CN"/>
        </w:rPr>
        <w:t>43</w:t>
      </w:r>
      <w:r>
        <w:rPr>
          <w:rFonts w:hint="eastAsia" w:ascii="仿宋_GB2312" w:hAnsi="仿宋_GB2312" w:eastAsia="仿宋_GB2312" w:cs="仿宋_GB2312"/>
          <w:sz w:val="32"/>
          <w:szCs w:val="32"/>
        </w:rPr>
        <w:t>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提供重大事项</w:t>
      </w:r>
      <w:r>
        <w:rPr>
          <w:rFonts w:hint="eastAsia" w:ascii="仿宋_GB2312" w:hAnsi="仿宋_GB2312" w:eastAsia="仿宋_GB2312" w:cs="仿宋_GB2312"/>
          <w:sz w:val="32"/>
          <w:szCs w:val="32"/>
        </w:rPr>
        <w:t>法律意见</w:t>
      </w:r>
      <w:r>
        <w:rPr>
          <w:rFonts w:hint="eastAsia" w:ascii="仿宋_GB2312" w:hAnsi="仿宋_GB2312" w:eastAsia="仿宋_GB2312" w:cs="仿宋_GB2312"/>
          <w:sz w:val="32"/>
          <w:szCs w:val="32"/>
          <w:lang w:val="en-US" w:eastAsia="zh-CN"/>
        </w:rPr>
        <w:t>9</w:t>
      </w:r>
      <w:r>
        <w:rPr>
          <w:rFonts w:hint="eastAsia" w:ascii="仿宋_GB2312" w:hAnsi="仿宋_GB2312" w:eastAsia="仿宋_GB2312" w:cs="仿宋_GB2312"/>
          <w:sz w:val="32"/>
          <w:szCs w:val="32"/>
        </w:rPr>
        <w:t>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参与信访接待、信息公开等4</w:t>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办理民事案件15件</w:t>
      </w:r>
      <w:r>
        <w:rPr>
          <w:rFonts w:hint="eastAsia" w:ascii="仿宋_GB2312" w:hAnsi="仿宋_GB2312" w:eastAsia="仿宋_GB2312" w:cs="仿宋_GB2312"/>
          <w:i w:val="0"/>
          <w:iCs w:val="0"/>
          <w:caps w:val="0"/>
          <w:color w:val="000000"/>
          <w:spacing w:val="0"/>
          <w:sz w:val="32"/>
          <w:szCs w:val="32"/>
        </w:rPr>
        <w:t>。</w:t>
      </w:r>
    </w:p>
    <w:p w14:paraId="0CC35BF1">
      <w:pPr>
        <w:keepNext w:val="0"/>
        <w:keepLines w:val="0"/>
        <w:pageBreakBefore w:val="0"/>
        <w:widowControl w:val="0"/>
        <w:kinsoku/>
        <w:wordWrap/>
        <w:overflowPunct/>
        <w:topLinePunct w:val="0"/>
        <w:autoSpaceDE/>
        <w:autoSpaceDN/>
        <w:bidi w:val="0"/>
        <w:spacing w:line="560" w:lineRule="exact"/>
        <w:ind w:left="0" w:firstLine="643" w:firstLineChars="200"/>
        <w:jc w:val="both"/>
        <w:textAlignment w:val="auto"/>
        <w:rPr>
          <w:rFonts w:hint="default" w:ascii="Times New Roman" w:hAnsi="Times New Roman" w:eastAsia="仿宋_GB2312" w:cs="Times New Roman"/>
          <w:sz w:val="32"/>
          <w:szCs w:val="32"/>
          <w:lang w:val="en-US" w:eastAsia="zh-CN"/>
        </w:rPr>
      </w:pPr>
      <w:r>
        <w:rPr>
          <w:rFonts w:hint="eastAsia" w:ascii="仿宋_GB2312" w:hAnsi="仿宋_GB2312" w:eastAsia="仿宋_GB2312" w:cs="仿宋_GB2312"/>
          <w:b/>
          <w:bCs/>
          <w:i w:val="0"/>
          <w:iCs w:val="0"/>
          <w:caps w:val="0"/>
          <w:color w:val="000000"/>
          <w:spacing w:val="0"/>
          <w:sz w:val="32"/>
          <w:szCs w:val="32"/>
          <w:lang w:val="en-US" w:eastAsia="zh-CN"/>
        </w:rPr>
        <w:t>3</w:t>
      </w:r>
      <w:r>
        <w:rPr>
          <w:rFonts w:hint="eastAsia" w:ascii="仿宋_GB2312" w:hAnsi="仿宋_GB2312" w:eastAsia="仿宋_GB2312" w:cs="仿宋_GB2312"/>
          <w:b/>
          <w:bCs/>
          <w:i w:val="0"/>
          <w:iCs w:val="0"/>
          <w:caps w:val="0"/>
          <w:color w:val="000000"/>
          <w:spacing w:val="0"/>
          <w:sz w:val="32"/>
          <w:szCs w:val="32"/>
        </w:rPr>
        <w:t>.深入推进严格规范公正文明执法。</w:t>
      </w:r>
      <w:r>
        <w:rPr>
          <w:rFonts w:hint="default" w:ascii="Times New Roman" w:hAnsi="Times New Roman" w:eastAsia="仿宋_GB2312" w:cs="Times New Roman"/>
          <w:sz w:val="32"/>
          <w:szCs w:val="32"/>
          <w:highlight w:val="none"/>
          <w:lang w:val="en-US" w:eastAsia="zh-CN"/>
        </w:rPr>
        <w:t>2025年办理行政检查案件7</w:t>
      </w:r>
      <w:r>
        <w:rPr>
          <w:rFonts w:hint="eastAsia" w:ascii="Times New Roman" w:hAnsi="Times New Roman" w:eastAsia="仿宋_GB2312" w:cs="Times New Roman"/>
          <w:sz w:val="32"/>
          <w:szCs w:val="32"/>
          <w:highlight w:val="none"/>
          <w:lang w:val="en-US" w:eastAsia="zh-CN"/>
        </w:rPr>
        <w:t>22</w:t>
      </w:r>
      <w:r>
        <w:rPr>
          <w:rFonts w:hint="default" w:ascii="Times New Roman" w:hAnsi="Times New Roman" w:eastAsia="仿宋_GB2312" w:cs="Times New Roman"/>
          <w:sz w:val="32"/>
          <w:szCs w:val="32"/>
          <w:highlight w:val="none"/>
          <w:lang w:val="en-US" w:eastAsia="zh-CN"/>
        </w:rPr>
        <w:t>起，同比减少2</w:t>
      </w:r>
      <w:r>
        <w:rPr>
          <w:rFonts w:hint="eastAsia" w:ascii="Times New Roman" w:hAnsi="Times New Roman" w:eastAsia="仿宋_GB2312" w:cs="Times New Roman"/>
          <w:sz w:val="32"/>
          <w:szCs w:val="32"/>
          <w:highlight w:val="none"/>
          <w:lang w:val="en-US" w:eastAsia="zh-CN"/>
        </w:rPr>
        <w:t>3.52</w:t>
      </w:r>
      <w:r>
        <w:rPr>
          <w:rFonts w:hint="default" w:ascii="Times New Roman" w:hAnsi="Times New Roman" w:eastAsia="仿宋_GB2312" w:cs="Times New Roman"/>
          <w:sz w:val="32"/>
          <w:szCs w:val="32"/>
          <w:highlight w:val="none"/>
          <w:lang w:val="en-US" w:eastAsia="zh-CN"/>
        </w:rPr>
        <w:t>%；办理行政处罚案件5</w:t>
      </w:r>
      <w:r>
        <w:rPr>
          <w:rFonts w:hint="eastAsia" w:ascii="Times New Roman" w:hAnsi="Times New Roman" w:eastAsia="仿宋_GB2312" w:cs="Times New Roman"/>
          <w:sz w:val="32"/>
          <w:szCs w:val="32"/>
          <w:highlight w:val="none"/>
          <w:lang w:val="en-US" w:eastAsia="zh-CN"/>
        </w:rPr>
        <w:t>8</w:t>
      </w:r>
      <w:r>
        <w:rPr>
          <w:rFonts w:hint="default" w:ascii="Times New Roman" w:hAnsi="Times New Roman" w:eastAsia="仿宋_GB2312" w:cs="Times New Roman"/>
          <w:sz w:val="32"/>
          <w:szCs w:val="32"/>
          <w:highlight w:val="none"/>
          <w:lang w:val="en-US" w:eastAsia="zh-CN"/>
        </w:rPr>
        <w:t>起（处罚金额5</w:t>
      </w:r>
      <w:r>
        <w:rPr>
          <w:rFonts w:hint="eastAsia" w:ascii="Times New Roman" w:hAnsi="Times New Roman" w:eastAsia="仿宋_GB2312" w:cs="Times New Roman"/>
          <w:sz w:val="32"/>
          <w:szCs w:val="32"/>
          <w:highlight w:val="none"/>
          <w:lang w:val="en-US" w:eastAsia="zh-CN"/>
        </w:rPr>
        <w:t>5950</w:t>
      </w:r>
      <w:r>
        <w:rPr>
          <w:rFonts w:hint="default" w:ascii="Times New Roman" w:hAnsi="Times New Roman" w:eastAsia="仿宋_GB2312" w:cs="Times New Roman"/>
          <w:sz w:val="32"/>
          <w:szCs w:val="32"/>
          <w:highlight w:val="none"/>
          <w:lang w:val="en-US" w:eastAsia="zh-CN"/>
        </w:rPr>
        <w:t>元），同比上升</w:t>
      </w:r>
      <w:r>
        <w:rPr>
          <w:rFonts w:hint="eastAsia" w:ascii="Times New Roman" w:hAnsi="Times New Roman" w:eastAsia="仿宋_GB2312" w:cs="Times New Roman"/>
          <w:sz w:val="32"/>
          <w:szCs w:val="32"/>
          <w:highlight w:val="none"/>
          <w:lang w:val="en-US" w:eastAsia="zh-CN"/>
        </w:rPr>
        <w:t>9.43</w:t>
      </w:r>
      <w:r>
        <w:rPr>
          <w:rFonts w:hint="default" w:ascii="Times New Roman" w:hAnsi="Times New Roman" w:eastAsia="仿宋_GB2312" w:cs="Times New Roman"/>
          <w:sz w:val="32"/>
          <w:szCs w:val="32"/>
          <w:highlight w:val="none"/>
          <w:lang w:val="en-US" w:eastAsia="zh-CN"/>
        </w:rPr>
        <w:t>%，其中简易程序案件</w:t>
      </w:r>
      <w:r>
        <w:rPr>
          <w:rFonts w:hint="eastAsia" w:ascii="Times New Roman" w:hAnsi="Times New Roman" w:eastAsia="仿宋_GB2312" w:cs="Times New Roman"/>
          <w:sz w:val="32"/>
          <w:szCs w:val="32"/>
          <w:highlight w:val="none"/>
          <w:lang w:val="en-US" w:eastAsia="zh-CN"/>
        </w:rPr>
        <w:t>30</w:t>
      </w:r>
      <w:r>
        <w:rPr>
          <w:rFonts w:hint="default" w:ascii="Times New Roman" w:hAnsi="Times New Roman" w:eastAsia="仿宋_GB2312" w:cs="Times New Roman"/>
          <w:sz w:val="32"/>
          <w:szCs w:val="32"/>
          <w:highlight w:val="none"/>
          <w:lang w:val="en-US" w:eastAsia="zh-CN"/>
        </w:rPr>
        <w:t>起，普通程序案件2</w:t>
      </w:r>
      <w:r>
        <w:rPr>
          <w:rFonts w:hint="eastAsia" w:ascii="Times New Roman" w:hAnsi="Times New Roman" w:eastAsia="仿宋_GB2312" w:cs="Times New Roman"/>
          <w:sz w:val="32"/>
          <w:szCs w:val="32"/>
          <w:highlight w:val="none"/>
          <w:lang w:val="en-US" w:eastAsia="zh-CN"/>
        </w:rPr>
        <w:t>8</w:t>
      </w:r>
      <w:r>
        <w:rPr>
          <w:rFonts w:hint="default" w:ascii="Times New Roman" w:hAnsi="Times New Roman" w:eastAsia="仿宋_GB2312" w:cs="Times New Roman"/>
          <w:sz w:val="32"/>
          <w:szCs w:val="32"/>
          <w:highlight w:val="none"/>
          <w:lang w:val="en-US" w:eastAsia="zh-CN"/>
        </w:rPr>
        <w:t>起</w:t>
      </w:r>
      <w:r>
        <w:rPr>
          <w:rFonts w:hint="eastAsia" w:ascii="Times New Roman" w:hAnsi="Times New Roman" w:eastAsia="仿宋_GB2312" w:cs="Times New Roman"/>
          <w:sz w:val="32"/>
          <w:szCs w:val="32"/>
          <w:highlight w:val="none"/>
          <w:lang w:val="en-US" w:eastAsia="zh-CN"/>
        </w:rPr>
        <w:t>。</w:t>
      </w:r>
    </w:p>
    <w:p w14:paraId="612EEA17">
      <w:pPr>
        <w:keepNext w:val="0"/>
        <w:keepLines w:val="0"/>
        <w:pageBreakBefore w:val="0"/>
        <w:widowControl w:val="0"/>
        <w:numPr>
          <w:ilvl w:val="0"/>
          <w:numId w:val="0"/>
        </w:numPr>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仿宋_GB2312" w:cs="Times New Roman"/>
          <w:kern w:val="2"/>
          <w:sz w:val="32"/>
          <w:szCs w:val="32"/>
          <w:lang w:val="en-US" w:eastAsia="zh-CN" w:bidi="ar-SA"/>
        </w:rPr>
      </w:pPr>
      <w:r>
        <w:rPr>
          <w:rFonts w:hint="default" w:ascii="Times New Roman" w:hAnsi="Times New Roman" w:eastAsia="仿宋_GB2312" w:cs="Times New Roman"/>
          <w:kern w:val="2"/>
          <w:sz w:val="32"/>
          <w:szCs w:val="32"/>
          <w:lang w:val="en-US" w:eastAsia="zh-CN" w:bidi="ar-SA"/>
        </w:rPr>
        <w:t>为切实保障人民群众合法权益，维护政府公信力，营造更加公开透明、规范有序、公平高效的法治环境，街道全面推行行政执法三项制度。</w:t>
      </w:r>
      <w:r>
        <w:rPr>
          <w:rFonts w:hint="default" w:ascii="Times New Roman" w:hAnsi="Times New Roman" w:eastAsia="仿宋_GB2312" w:cs="Times New Roman"/>
          <w:b/>
          <w:bCs/>
          <w:kern w:val="2"/>
          <w:sz w:val="32"/>
          <w:szCs w:val="32"/>
          <w:lang w:val="en-US" w:eastAsia="zh-CN" w:bidi="ar-SA"/>
        </w:rPr>
        <w:t>一是</w:t>
      </w:r>
      <w:r>
        <w:rPr>
          <w:rFonts w:hint="default" w:ascii="Times New Roman" w:hAnsi="Times New Roman" w:eastAsia="仿宋_GB2312" w:cs="Times New Roman"/>
          <w:kern w:val="2"/>
          <w:sz w:val="32"/>
          <w:szCs w:val="32"/>
          <w:lang w:val="en-US" w:eastAsia="zh-CN" w:bidi="ar-SA"/>
        </w:rPr>
        <w:t>自行政处罚作出决定之日起</w:t>
      </w:r>
      <w:r>
        <w:rPr>
          <w:rFonts w:hint="eastAsia" w:ascii="Times New Roman" w:hAnsi="Times New Roman" w:eastAsia="仿宋_GB2312" w:cs="Times New Roman"/>
          <w:kern w:val="2"/>
          <w:sz w:val="32"/>
          <w:szCs w:val="32"/>
          <w:lang w:val="en-US" w:eastAsia="zh-CN" w:bidi="ar-SA"/>
        </w:rPr>
        <w:t>按照规定时限</w:t>
      </w:r>
      <w:r>
        <w:rPr>
          <w:rFonts w:hint="default" w:ascii="Times New Roman" w:hAnsi="Times New Roman" w:eastAsia="仿宋_GB2312" w:cs="Times New Roman"/>
          <w:kern w:val="2"/>
          <w:sz w:val="32"/>
          <w:szCs w:val="32"/>
          <w:lang w:val="en-US" w:eastAsia="zh-CN" w:bidi="ar-SA"/>
        </w:rPr>
        <w:t>将“双公示”数据上传至东丽区信用信息共享平台，及时保障行政相对人和社会公众知情权，切实提升行政执法工作的透明度和公信力。</w:t>
      </w:r>
      <w:r>
        <w:rPr>
          <w:rFonts w:hint="default" w:ascii="Times New Roman" w:hAnsi="Times New Roman" w:eastAsia="仿宋_GB2312" w:cs="Times New Roman"/>
          <w:b/>
          <w:bCs/>
          <w:kern w:val="2"/>
          <w:sz w:val="32"/>
          <w:szCs w:val="32"/>
          <w:lang w:val="en-US" w:eastAsia="zh-CN" w:bidi="ar-SA"/>
        </w:rPr>
        <w:t>二是</w:t>
      </w:r>
      <w:r>
        <w:rPr>
          <w:rFonts w:hint="default" w:ascii="Times New Roman" w:hAnsi="Times New Roman" w:eastAsia="仿宋_GB2312" w:cs="Times New Roman"/>
          <w:kern w:val="2"/>
          <w:sz w:val="32"/>
          <w:szCs w:val="32"/>
          <w:lang w:val="en-US" w:eastAsia="zh-CN" w:bidi="ar-SA"/>
        </w:rPr>
        <w:t>现场执法采取全过程记录，执法人员开展现场执法工作中，全程使用执法记录仪，最终全面系统归档保存，做到执法全过程留痕和回溯管理。</w:t>
      </w:r>
      <w:r>
        <w:rPr>
          <w:rFonts w:hint="default" w:ascii="Times New Roman" w:hAnsi="Times New Roman" w:eastAsia="仿宋_GB2312" w:cs="Times New Roman"/>
          <w:b/>
          <w:bCs/>
          <w:kern w:val="2"/>
          <w:sz w:val="32"/>
          <w:szCs w:val="32"/>
          <w:lang w:val="en-US" w:eastAsia="zh-CN" w:bidi="ar-SA"/>
        </w:rPr>
        <w:t>三是</w:t>
      </w:r>
      <w:r>
        <w:rPr>
          <w:rFonts w:hint="default" w:ascii="Times New Roman" w:hAnsi="Times New Roman" w:eastAsia="仿宋_GB2312" w:cs="Times New Roman"/>
          <w:kern w:val="2"/>
          <w:sz w:val="32"/>
          <w:szCs w:val="32"/>
          <w:lang w:val="en-US" w:eastAsia="zh-CN" w:bidi="ar-SA"/>
        </w:rPr>
        <w:t>对所有发生的一般程序案件均进行法制审核，确保行政执法程序合法、案件事实清楚。同时为保证行政执法规范化运行，加强行政执法监督，对情节复杂或重大违法行为给予行政处罚的案件，召开集体讨论会议作出有关决定。</w:t>
      </w:r>
    </w:p>
    <w:p w14:paraId="6F74B0B9">
      <w:pPr>
        <w:pStyle w:val="2"/>
        <w:keepNext w:val="0"/>
        <w:keepLines w:val="0"/>
        <w:pageBreakBefore w:val="0"/>
        <w:widowControl w:val="0"/>
        <w:kinsoku/>
        <w:wordWrap/>
        <w:overflowPunct/>
        <w:topLinePunct w:val="0"/>
        <w:autoSpaceDE/>
        <w:autoSpaceDN/>
        <w:bidi w:val="0"/>
        <w:spacing w:line="560" w:lineRule="exact"/>
        <w:ind w:left="0" w:firstLine="640" w:firstLineChars="200"/>
        <w:jc w:val="both"/>
        <w:textAlignment w:val="auto"/>
        <w:rPr>
          <w:rFonts w:hint="default" w:ascii="Times New Roman" w:hAnsi="Times New Roman" w:eastAsia="仿宋_GB2312" w:cs="Times New Roman"/>
          <w:sz w:val="32"/>
          <w:szCs w:val="32"/>
          <w:lang w:val="en-US" w:eastAsia="zh-CN"/>
        </w:rPr>
      </w:pPr>
      <w:r>
        <w:rPr>
          <w:rFonts w:hint="default" w:ascii="Times New Roman" w:hAnsi="Times New Roman" w:eastAsia="仿宋_GB2312" w:cs="Times New Roman"/>
          <w:color w:val="auto"/>
          <w:kern w:val="2"/>
          <w:sz w:val="32"/>
          <w:szCs w:val="32"/>
          <w:highlight w:val="none"/>
          <w:lang w:val="en-US" w:eastAsia="zh-CN" w:bidi="ar-SA"/>
        </w:rPr>
        <w:t>积极</w:t>
      </w:r>
      <w:r>
        <w:rPr>
          <w:rFonts w:hint="default" w:ascii="Times New Roman" w:hAnsi="Times New Roman" w:eastAsia="仿宋_GB2312" w:cs="Times New Roman"/>
          <w:i w:val="0"/>
          <w:iCs w:val="0"/>
          <w:caps w:val="0"/>
          <w:color w:val="191919"/>
          <w:spacing w:val="0"/>
          <w:sz w:val="32"/>
          <w:szCs w:val="32"/>
          <w:shd w:val="clear" w:fill="FFFFFF"/>
          <w:lang w:val="en-US" w:eastAsia="zh-CN"/>
        </w:rPr>
        <w:t>落实《提升行政执法质量三年行动计划（2023-2025年）》安排部署，</w:t>
      </w:r>
      <w:r>
        <w:rPr>
          <w:rFonts w:hint="default" w:ascii="Times New Roman" w:hAnsi="Times New Roman" w:eastAsia="仿宋_GB2312" w:cs="Times New Roman"/>
          <w:color w:val="auto"/>
          <w:kern w:val="2"/>
          <w:sz w:val="32"/>
          <w:szCs w:val="32"/>
          <w:highlight w:val="none"/>
          <w:lang w:val="en-US" w:eastAsia="zh-CN" w:bidi="ar-SA"/>
        </w:rPr>
        <w:t>组织开展模拟执法学习和法律理论学习，将法律理论知识与执法业务实践相结合，重点学习城市管理相关法律法规、行政执法业务、授权执法事项等，全面提升执法人员政治和业务素质，自觉规范执法行为。</w:t>
      </w:r>
      <w:r>
        <w:rPr>
          <w:rFonts w:hint="default" w:ascii="Times New Roman" w:hAnsi="Times New Roman" w:eastAsia="仿宋_GB2312" w:cs="Times New Roman"/>
          <w:sz w:val="32"/>
          <w:szCs w:val="32"/>
          <w:lang w:eastAsia="zh-CN"/>
        </w:rPr>
        <w:t>坚持刀刃向内，持续</w:t>
      </w:r>
      <w:r>
        <w:rPr>
          <w:rFonts w:hint="default" w:ascii="Times New Roman" w:hAnsi="Times New Roman" w:eastAsia="仿宋_GB2312" w:cs="Times New Roman"/>
          <w:sz w:val="32"/>
          <w:szCs w:val="32"/>
          <w:highlight w:val="none"/>
          <w:lang w:eastAsia="zh-CN"/>
        </w:rPr>
        <w:t>深化作风纪律教育整顿，</w:t>
      </w:r>
      <w:r>
        <w:rPr>
          <w:rFonts w:hint="default" w:ascii="Times New Roman" w:hAnsi="Times New Roman" w:eastAsia="仿宋_GB2312" w:cs="Times New Roman"/>
          <w:sz w:val="32"/>
          <w:szCs w:val="32"/>
          <w:highlight w:val="none"/>
          <w:lang w:val="en-US" w:eastAsia="zh-CN"/>
        </w:rPr>
        <w:t>开展群众身边不正之风和腐败问题集中整治等部署工作</w:t>
      </w:r>
      <w:r>
        <w:rPr>
          <w:rFonts w:hint="default"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lang w:val="en-US" w:eastAsia="zh-CN"/>
        </w:rPr>
        <w:t>结合深入贯彻中央八项规定精神学习教育，坚持严的基调不动摇。制定考勤管理规定，组织执法人员传达学习《东丽区街道行政执法人员行为规范》，教育引导全体执法人员筑牢思想防线，严守纪律底线，做到公正、文明、廉洁执</w:t>
      </w:r>
      <w:r>
        <w:rPr>
          <w:rFonts w:hint="default" w:ascii="Times New Roman" w:hAnsi="Times New Roman" w:eastAsia="仿宋_GB2312" w:cs="Times New Roman"/>
          <w:sz w:val="32"/>
          <w:szCs w:val="32"/>
          <w:lang w:val="en-US" w:eastAsia="zh-CN"/>
        </w:rPr>
        <w:t>法，不断提升执法队伍形象和政府公信力。对于不适合继续从事执法工作的人员予以清退处理，推动队伍结构优化与整体效能提升。</w:t>
      </w:r>
    </w:p>
    <w:p w14:paraId="15192DFE">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i w:val="0"/>
          <w:iCs w:val="0"/>
          <w:caps w:val="0"/>
          <w:color w:val="000000"/>
          <w:spacing w:val="0"/>
          <w:sz w:val="32"/>
          <w:szCs w:val="32"/>
          <w:lang w:val="en-US" w:eastAsia="en-US"/>
        </w:rPr>
      </w:pPr>
      <w:r>
        <w:rPr>
          <w:rFonts w:hint="eastAsia" w:ascii="仿宋_GB2312" w:hAnsi="仿宋_GB2312" w:eastAsia="仿宋_GB2312" w:cs="仿宋_GB2312"/>
          <w:b/>
          <w:bCs/>
          <w:i w:val="0"/>
          <w:iCs w:val="0"/>
          <w:caps w:val="0"/>
          <w:color w:val="000000"/>
          <w:spacing w:val="0"/>
          <w:sz w:val="32"/>
          <w:szCs w:val="32"/>
          <w:lang w:val="en-US" w:eastAsia="zh-CN"/>
        </w:rPr>
        <w:t>4</w:t>
      </w:r>
      <w:r>
        <w:rPr>
          <w:rFonts w:hint="eastAsia" w:ascii="仿宋_GB2312" w:hAnsi="仿宋_GB2312" w:eastAsia="仿宋_GB2312" w:cs="仿宋_GB2312"/>
          <w:b/>
          <w:bCs/>
          <w:i w:val="0"/>
          <w:iCs w:val="0"/>
          <w:caps w:val="0"/>
          <w:color w:val="000000"/>
          <w:spacing w:val="0"/>
          <w:sz w:val="32"/>
          <w:szCs w:val="32"/>
        </w:rPr>
        <w:t>.加大行政执法协调监督力度。</w:t>
      </w:r>
      <w:r>
        <w:rPr>
          <w:rFonts w:hint="eastAsia" w:ascii="仿宋_GB2312" w:hAnsi="仿宋_GB2312" w:eastAsia="仿宋_GB2312" w:cs="仿宋_GB2312"/>
          <w:i w:val="0"/>
          <w:iCs w:val="0"/>
          <w:caps w:val="0"/>
          <w:color w:val="000000"/>
          <w:spacing w:val="0"/>
          <w:sz w:val="32"/>
          <w:szCs w:val="32"/>
        </w:rPr>
        <w:t>贯彻落实新修订的行政复议法，持续加大学习宣传力度。发挥行政复议化解行政争议主渠道作用，</w:t>
      </w:r>
      <w:r>
        <w:rPr>
          <w:rFonts w:hint="eastAsia" w:ascii="仿宋_GB2312" w:hAnsi="仿宋_GB2312" w:eastAsia="仿宋_GB2312" w:cs="仿宋_GB2312"/>
          <w:i w:val="0"/>
          <w:iCs w:val="0"/>
          <w:caps w:val="0"/>
          <w:color w:val="000000"/>
          <w:spacing w:val="0"/>
          <w:sz w:val="32"/>
          <w:szCs w:val="32"/>
          <w:lang w:val="en-US" w:eastAsia="zh-CN"/>
        </w:rPr>
        <w:t>街道继续组织开展《</w:t>
      </w:r>
      <w:r>
        <w:rPr>
          <w:rFonts w:hint="eastAsia" w:ascii="仿宋_GB2312" w:hAnsi="仿宋_GB2312" w:eastAsia="仿宋_GB2312" w:cs="仿宋_GB2312"/>
          <w:sz w:val="32"/>
          <w:szCs w:val="32"/>
          <w:lang w:eastAsia="zh-CN"/>
        </w:rPr>
        <w:t>中华人民共和国</w:t>
      </w:r>
      <w:r>
        <w:rPr>
          <w:rFonts w:hint="eastAsia" w:ascii="仿宋_GB2312" w:hAnsi="仿宋_GB2312" w:eastAsia="仿宋_GB2312" w:cs="仿宋_GB2312"/>
          <w:i w:val="0"/>
          <w:iCs w:val="0"/>
          <w:caps w:val="0"/>
          <w:color w:val="000000"/>
          <w:spacing w:val="0"/>
          <w:sz w:val="32"/>
          <w:szCs w:val="32"/>
          <w:lang w:val="en-US" w:eastAsia="zh-CN"/>
        </w:rPr>
        <w:t>行政复议法》及《</w:t>
      </w:r>
      <w:r>
        <w:rPr>
          <w:rFonts w:hint="eastAsia" w:ascii="仿宋_GB2312" w:hAnsi="仿宋_GB2312" w:eastAsia="仿宋_GB2312" w:cs="仿宋_GB2312"/>
          <w:sz w:val="32"/>
          <w:szCs w:val="32"/>
          <w:lang w:eastAsia="zh-CN"/>
        </w:rPr>
        <w:t>中华人民共和国</w:t>
      </w:r>
      <w:r>
        <w:rPr>
          <w:rFonts w:hint="eastAsia" w:ascii="仿宋_GB2312" w:hAnsi="仿宋_GB2312" w:eastAsia="仿宋_GB2312" w:cs="仿宋_GB2312"/>
          <w:i w:val="0"/>
          <w:iCs w:val="0"/>
          <w:caps w:val="0"/>
          <w:color w:val="000000"/>
          <w:spacing w:val="0"/>
          <w:sz w:val="32"/>
          <w:szCs w:val="32"/>
          <w:lang w:val="en-US" w:eastAsia="zh-CN"/>
        </w:rPr>
        <w:t>行政处罚法》等专题培训。</w:t>
      </w:r>
      <w:r>
        <w:rPr>
          <w:rFonts w:hint="eastAsia" w:ascii="仿宋_GB2312" w:hAnsi="仿宋_GB2312" w:eastAsia="仿宋_GB2312" w:cs="仿宋_GB2312"/>
          <w:i w:val="0"/>
          <w:iCs w:val="0"/>
          <w:caps w:val="0"/>
          <w:color w:val="000000"/>
          <w:spacing w:val="0"/>
          <w:sz w:val="32"/>
          <w:szCs w:val="32"/>
        </w:rPr>
        <w:t>积极落实《东丽区行政机关、司法机关协调联动化解行政争议工作机制》，努力实现行政争议实质化化解。</w:t>
      </w:r>
    </w:p>
    <w:p w14:paraId="19A10255">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rPr>
      </w:pPr>
      <w:r>
        <w:rPr>
          <w:rFonts w:hint="eastAsia" w:ascii="仿宋_GB2312" w:hAnsi="仿宋_GB2312" w:eastAsia="仿宋_GB2312" w:cs="仿宋_GB2312"/>
          <w:b/>
          <w:bCs/>
          <w:i w:val="0"/>
          <w:iCs w:val="0"/>
          <w:caps w:val="0"/>
          <w:color w:val="000000"/>
          <w:spacing w:val="0"/>
          <w:sz w:val="32"/>
          <w:szCs w:val="32"/>
          <w:lang w:val="en-US" w:eastAsia="zh-CN"/>
        </w:rPr>
        <w:t>（五）深入推进法治社会建设</w:t>
      </w:r>
      <w:r>
        <w:rPr>
          <w:rFonts w:hint="eastAsia" w:ascii="仿宋_GB2312" w:hAnsi="仿宋_GB2312" w:eastAsia="仿宋_GB2312" w:cs="仿宋_GB2312"/>
          <w:i w:val="0"/>
          <w:iCs w:val="0"/>
          <w:caps w:val="0"/>
          <w:color w:val="000000"/>
          <w:spacing w:val="0"/>
          <w:sz w:val="32"/>
          <w:szCs w:val="32"/>
        </w:rPr>
        <w:br w:type="textWrapping"/>
      </w:r>
      <w:r>
        <w:rPr>
          <w:rFonts w:hint="eastAsia" w:ascii="仿宋_GB2312" w:hAnsi="仿宋_GB2312" w:eastAsia="仿宋_GB2312" w:cs="仿宋_GB2312"/>
          <w:i w:val="0"/>
          <w:iCs w:val="0"/>
          <w:caps w:val="0"/>
          <w:color w:val="000000"/>
          <w:spacing w:val="0"/>
          <w:sz w:val="32"/>
          <w:szCs w:val="32"/>
          <w:lang w:val="en-US" w:eastAsia="zh-CN"/>
        </w:rPr>
        <w:t xml:space="preserve">    </w:t>
      </w:r>
      <w:r>
        <w:rPr>
          <w:rFonts w:hint="eastAsia" w:ascii="仿宋_GB2312" w:hAnsi="仿宋_GB2312" w:eastAsia="仿宋_GB2312" w:cs="仿宋_GB2312"/>
          <w:b/>
          <w:bCs/>
          <w:i w:val="0"/>
          <w:iCs w:val="0"/>
          <w:caps w:val="0"/>
          <w:color w:val="000000"/>
          <w:spacing w:val="0"/>
          <w:sz w:val="32"/>
          <w:szCs w:val="32"/>
        </w:rPr>
        <w:t>强化法治宣传教育。</w:t>
      </w:r>
      <w:r>
        <w:rPr>
          <w:rFonts w:hint="eastAsia" w:ascii="仿宋_GB2312" w:hAnsi="仿宋_GB2312" w:eastAsia="仿宋_GB2312" w:cs="仿宋_GB2312"/>
          <w:i w:val="0"/>
          <w:iCs w:val="0"/>
          <w:caps w:val="0"/>
          <w:color w:val="000000"/>
          <w:spacing w:val="0"/>
          <w:sz w:val="32"/>
          <w:szCs w:val="32"/>
        </w:rPr>
        <w:t>深入实施“八五”普法规划，公开202</w:t>
      </w:r>
      <w:r>
        <w:rPr>
          <w:rFonts w:hint="eastAsia" w:ascii="仿宋_GB2312" w:hAnsi="仿宋_GB2312" w:eastAsia="仿宋_GB2312" w:cs="仿宋_GB2312"/>
          <w:i w:val="0"/>
          <w:iCs w:val="0"/>
          <w:caps w:val="0"/>
          <w:color w:val="000000"/>
          <w:spacing w:val="0"/>
          <w:sz w:val="32"/>
          <w:szCs w:val="32"/>
          <w:lang w:val="en-US" w:eastAsia="zh-CN"/>
        </w:rPr>
        <w:t>5</w:t>
      </w:r>
      <w:r>
        <w:rPr>
          <w:rFonts w:hint="eastAsia" w:ascii="仿宋_GB2312" w:hAnsi="仿宋_GB2312" w:eastAsia="仿宋_GB2312" w:cs="仿宋_GB2312"/>
          <w:i w:val="0"/>
          <w:iCs w:val="0"/>
          <w:caps w:val="0"/>
          <w:color w:val="000000"/>
          <w:spacing w:val="0"/>
          <w:sz w:val="32"/>
          <w:szCs w:val="32"/>
        </w:rPr>
        <w:t>年军粮城街普法责任清单，推动《宪法》、《民法典》、国家安全等法律法规宣传教育常态化长效化。抓牢抓实领导干部、国家工作人员等重点对象法治教育，组织开展国家工作人员</w:t>
      </w:r>
      <w:r>
        <w:rPr>
          <w:rFonts w:hint="eastAsia" w:ascii="仿宋_GB2312" w:hAnsi="仿宋_GB2312" w:eastAsia="仿宋_GB2312" w:cs="仿宋_GB2312"/>
          <w:i w:val="0"/>
          <w:iCs w:val="0"/>
          <w:caps w:val="0"/>
          <w:color w:val="000000"/>
          <w:spacing w:val="0"/>
          <w:sz w:val="32"/>
          <w:szCs w:val="32"/>
          <w:lang w:val="en-US" w:eastAsia="zh-CN"/>
        </w:rPr>
        <w:t>网上</w:t>
      </w:r>
      <w:r>
        <w:rPr>
          <w:rFonts w:hint="eastAsia" w:ascii="仿宋_GB2312" w:hAnsi="仿宋_GB2312" w:eastAsia="仿宋_GB2312" w:cs="仿宋_GB2312"/>
          <w:i w:val="0"/>
          <w:iCs w:val="0"/>
          <w:caps w:val="0"/>
          <w:color w:val="000000"/>
          <w:spacing w:val="0"/>
          <w:sz w:val="32"/>
          <w:szCs w:val="32"/>
        </w:rPr>
        <w:t>学法用法考试，49名领导干部参加。以点带面，着力提升全民普法针对性、实效性。组织开展优化法治化营商环境专项普法，回应企业多元法治需求。全面推进“法律明白人”培养工程，实现每个社区“法律明白人”不少于5名</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rPr>
        <w:t>完成50名社区工作人员“法律明白人”学习培训工作。开展社区“法律明白人”</w:t>
      </w:r>
      <w:r>
        <w:rPr>
          <w:rFonts w:hint="eastAsia" w:ascii="仿宋_GB2312" w:hAnsi="仿宋_GB2312" w:eastAsia="仿宋_GB2312" w:cs="仿宋_GB2312"/>
          <w:i w:val="0"/>
          <w:iCs w:val="0"/>
          <w:caps w:val="0"/>
          <w:color w:val="000000"/>
          <w:spacing w:val="0"/>
          <w:sz w:val="32"/>
          <w:szCs w:val="32"/>
          <w:lang w:val="en-US" w:eastAsia="zh-CN"/>
        </w:rPr>
        <w:t>暨</w:t>
      </w:r>
      <w:r>
        <w:rPr>
          <w:rFonts w:hint="eastAsia" w:ascii="仿宋_GB2312" w:hAnsi="仿宋_GB2312" w:eastAsia="仿宋_GB2312" w:cs="仿宋_GB2312"/>
          <w:i w:val="0"/>
          <w:iCs w:val="0"/>
          <w:caps w:val="0"/>
          <w:color w:val="000000"/>
          <w:spacing w:val="0"/>
          <w:sz w:val="32"/>
          <w:szCs w:val="32"/>
        </w:rPr>
        <w:t>社区网格员法治素养“大培训 大练兵 大比武”活动，加大法治文化惠民力度，广泛开展群众性法治文化活动，组织普法讲座，播放普法宣传片，网格微信群推送，集中宣传等方式开展民法典宣传教育工作，收到良好效果</w:t>
      </w:r>
      <w:r>
        <w:rPr>
          <w:rFonts w:hint="eastAsia" w:ascii="仿宋_GB2312" w:hAnsi="仿宋_GB2312" w:eastAsia="仿宋_GB2312" w:cs="仿宋_GB2312"/>
          <w:i w:val="0"/>
          <w:iCs w:val="0"/>
          <w:caps w:val="0"/>
          <w:color w:val="000000"/>
          <w:spacing w:val="0"/>
          <w:sz w:val="32"/>
          <w:szCs w:val="32"/>
          <w:lang w:eastAsia="zh-CN"/>
        </w:rPr>
        <w:t>，</w:t>
      </w:r>
      <w:r>
        <w:rPr>
          <w:rFonts w:hint="eastAsia" w:ascii="仿宋_GB2312" w:hAnsi="仿宋_GB2312" w:eastAsia="仿宋_GB2312" w:cs="仿宋_GB2312"/>
          <w:i w:val="0"/>
          <w:iCs w:val="0"/>
          <w:caps w:val="0"/>
          <w:color w:val="000000"/>
          <w:spacing w:val="0"/>
          <w:sz w:val="32"/>
          <w:szCs w:val="32"/>
        </w:rPr>
        <w:t>营造</w:t>
      </w:r>
      <w:r>
        <w:rPr>
          <w:rFonts w:hint="eastAsia" w:ascii="仿宋_GB2312" w:hAnsi="仿宋_GB2312" w:eastAsia="仿宋_GB2312" w:cs="仿宋_GB2312"/>
          <w:i w:val="0"/>
          <w:iCs w:val="0"/>
          <w:caps w:val="0"/>
          <w:color w:val="000000"/>
          <w:spacing w:val="0"/>
          <w:sz w:val="32"/>
          <w:szCs w:val="32"/>
          <w:lang w:eastAsia="zh-CN"/>
        </w:rPr>
        <w:t>了</w:t>
      </w:r>
      <w:r>
        <w:rPr>
          <w:rFonts w:hint="eastAsia" w:ascii="仿宋_GB2312" w:hAnsi="仿宋_GB2312" w:eastAsia="仿宋_GB2312" w:cs="仿宋_GB2312"/>
          <w:i w:val="0"/>
          <w:iCs w:val="0"/>
          <w:caps w:val="0"/>
          <w:color w:val="000000"/>
          <w:spacing w:val="0"/>
          <w:sz w:val="32"/>
          <w:szCs w:val="32"/>
        </w:rPr>
        <w:t>重规则、讲法治、守诚信的浓厚法治氛围。</w:t>
      </w:r>
    </w:p>
    <w:p w14:paraId="549C1FC6">
      <w:pPr>
        <w:keepNext w:val="0"/>
        <w:keepLines w:val="0"/>
        <w:pageBreakBefore w:val="0"/>
        <w:widowControl/>
        <w:numPr>
          <w:ilvl w:val="0"/>
          <w:numId w:val="1"/>
        </w:numPr>
        <w:kinsoku/>
        <w:wordWrap/>
        <w:overflowPunct w:val="0"/>
        <w:topLinePunct w:val="0"/>
        <w:autoSpaceDE w:val="0"/>
        <w:autoSpaceDN w:val="0"/>
        <w:bidi w:val="0"/>
        <w:adjustRightInd w:val="0"/>
        <w:snapToGrid w:val="0"/>
        <w:spacing w:before="0" w:after="0" w:line="560" w:lineRule="exact"/>
        <w:ind w:left="0" w:firstLine="640" w:firstLineChars="200"/>
        <w:jc w:val="both"/>
        <w:textAlignment w:val="auto"/>
        <w:rPr>
          <w:rFonts w:hint="eastAsia" w:ascii="Times New Roman" w:hAnsi="Times New Roman" w:eastAsia="黑体" w:cs="Times New Roman"/>
          <w:kern w:val="0"/>
          <w:sz w:val="32"/>
          <w:szCs w:val="32"/>
          <w:lang w:eastAsia="en-US"/>
        </w:rPr>
      </w:pPr>
      <w:r>
        <w:rPr>
          <w:rFonts w:hint="eastAsia" w:ascii="Times New Roman" w:hAnsi="Times New Roman" w:eastAsia="黑体" w:cs="Times New Roman"/>
          <w:kern w:val="0"/>
          <w:sz w:val="32"/>
          <w:szCs w:val="32"/>
          <w:lang w:eastAsia="en-US"/>
        </w:rPr>
        <w:t>存在问题</w:t>
      </w:r>
    </w:p>
    <w:p w14:paraId="43025C4E">
      <w:pPr>
        <w:keepNext w:val="0"/>
        <w:keepLines w:val="0"/>
        <w:pageBreakBefore w:val="0"/>
        <w:widowControl/>
        <w:kinsoku/>
        <w:wordWrap/>
        <w:overflowPunct w:val="0"/>
        <w:topLinePunct w:val="0"/>
        <w:autoSpaceDE w:val="0"/>
        <w:autoSpaceDN w:val="0"/>
        <w:bidi w:val="0"/>
        <w:adjustRightInd w:val="0"/>
        <w:snapToGrid w:val="0"/>
        <w:spacing w:before="0" w:after="0" w:line="560" w:lineRule="exact"/>
        <w:ind w:left="0" w:firstLine="640" w:firstLineChars="200"/>
        <w:jc w:val="both"/>
        <w:textAlignment w:val="auto"/>
        <w:rPr>
          <w:rFonts w:hint="eastAsia" w:ascii="Times New Roman" w:hAnsi="Times New Roman" w:eastAsia="黑体" w:cs="Times New Roman"/>
          <w:kern w:val="0"/>
          <w:sz w:val="32"/>
          <w:szCs w:val="32"/>
          <w:lang w:eastAsia="en-US"/>
        </w:rPr>
      </w:pPr>
      <w:r>
        <w:rPr>
          <w:rFonts w:hint="eastAsia" w:ascii="仿宋_GB2312" w:hAnsi="仿宋_GB2312" w:eastAsia="仿宋_GB2312" w:cs="仿宋_GB2312"/>
          <w:sz w:val="32"/>
          <w:szCs w:val="32"/>
        </w:rPr>
        <w:t>我街</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法治建设与经济社会发展要求和建设法治政府的目标还存在一定的差距。主要表现在：一是部分领导干部和行政执法人员法治政府建设和法律专业知识欠缺，观念不够强，法治政府建设整体推进还不够平衡，二是法治政府建设机制还不够完善，在制度建设，人员配备上还有待加强；三是行政争议和纠纷化解工作仍需进一步加强。</w:t>
      </w:r>
      <w:r>
        <w:rPr>
          <w:rFonts w:hint="eastAsia" w:ascii="仿宋_GB2312" w:hAnsi="仿宋_GB2312" w:eastAsia="仿宋_GB2312" w:cs="仿宋_GB2312"/>
          <w:sz w:val="32"/>
          <w:szCs w:val="32"/>
          <w:lang w:val="en-US" w:eastAsia="zh-CN"/>
        </w:rPr>
        <w:t>一线</w:t>
      </w:r>
      <w:r>
        <w:rPr>
          <w:rFonts w:hint="default" w:ascii="Times New Roman" w:hAnsi="Times New Roman" w:eastAsia="仿宋_GB2312" w:cs="Times New Roman"/>
          <w:sz w:val="32"/>
          <w:szCs w:val="32"/>
          <w:highlight w:val="none"/>
        </w:rPr>
        <w:t>执法人员把工作做细的能力有欠缺</w:t>
      </w:r>
      <w:r>
        <w:rPr>
          <w:rFonts w:hint="eastAsia" w:ascii="Times New Roman" w:hAnsi="Times New Roman" w:eastAsia="仿宋_GB2312" w:cs="Times New Roman"/>
          <w:sz w:val="32"/>
          <w:szCs w:val="32"/>
          <w:highlight w:val="none"/>
          <w:lang w:eastAsia="zh-CN"/>
        </w:rPr>
        <w:t>，</w:t>
      </w:r>
      <w:r>
        <w:rPr>
          <w:rFonts w:hint="default" w:ascii="Times New Roman" w:hAnsi="Times New Roman" w:eastAsia="仿宋_GB2312" w:cs="Times New Roman"/>
          <w:sz w:val="32"/>
          <w:szCs w:val="32"/>
          <w:highlight w:val="none"/>
        </w:rPr>
        <w:t>执法人员法律素养有待</w:t>
      </w:r>
      <w:r>
        <w:rPr>
          <w:rFonts w:hint="eastAsia" w:ascii="Times New Roman" w:hAnsi="Times New Roman" w:eastAsia="仿宋_GB2312" w:cs="Times New Roman"/>
          <w:sz w:val="32"/>
          <w:szCs w:val="32"/>
          <w:highlight w:val="none"/>
          <w:lang w:eastAsia="zh-CN"/>
        </w:rPr>
        <w:t>进一步</w:t>
      </w:r>
      <w:r>
        <w:rPr>
          <w:rFonts w:hint="default" w:ascii="Times New Roman" w:hAnsi="Times New Roman" w:eastAsia="仿宋_GB2312" w:cs="Times New Roman"/>
          <w:sz w:val="32"/>
          <w:szCs w:val="32"/>
          <w:highlight w:val="none"/>
        </w:rPr>
        <w:t>提升</w:t>
      </w:r>
      <w:r>
        <w:rPr>
          <w:rFonts w:hint="eastAsia" w:ascii="Times New Roman" w:hAnsi="Times New Roman" w:eastAsia="仿宋_GB2312" w:cs="Times New Roman"/>
          <w:sz w:val="32"/>
          <w:szCs w:val="32"/>
          <w:highlight w:val="none"/>
          <w:lang w:eastAsia="zh-CN"/>
        </w:rPr>
        <w:t>。</w:t>
      </w:r>
    </w:p>
    <w:p w14:paraId="5470BC02">
      <w:pPr>
        <w:pStyle w:val="2"/>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仿宋_GB2312" w:cs="Times New Roman"/>
          <w:sz w:val="32"/>
          <w:szCs w:val="32"/>
          <w:highlight w:val="none"/>
          <w:lang w:eastAsia="zh-CN"/>
        </w:rPr>
      </w:pPr>
      <w:r>
        <w:rPr>
          <w:rFonts w:hint="eastAsia" w:hAnsi="Times New Roman" w:eastAsia="黑体" w:cs="Times New Roman"/>
          <w:sz w:val="32"/>
          <w:szCs w:val="32"/>
          <w:highlight w:val="none"/>
          <w:lang w:eastAsia="zh-CN"/>
        </w:rPr>
        <w:t>三、</w:t>
      </w:r>
      <w:r>
        <w:rPr>
          <w:rFonts w:hint="default" w:ascii="Times New Roman" w:hAnsi="Times New Roman" w:eastAsia="黑体" w:cs="Times New Roman"/>
          <w:sz w:val="32"/>
          <w:szCs w:val="32"/>
          <w:highlight w:val="none"/>
        </w:rPr>
        <w:t>下一步工作举措</w:t>
      </w:r>
    </w:p>
    <w:p w14:paraId="52229A3C">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一是深化培训教育。</w:t>
      </w:r>
      <w:r>
        <w:rPr>
          <w:rFonts w:hint="eastAsia" w:ascii="仿宋_GB2312" w:hAnsi="仿宋_GB2312" w:eastAsia="仿宋_GB2312" w:cs="仿宋_GB2312"/>
          <w:sz w:val="32"/>
          <w:szCs w:val="32"/>
        </w:rPr>
        <w:t>不断丰富培训教育路径，组织领导干部参加上级部门组织的各层次培训，聘请专家学者来街道现场授课，把习近平法治思想、中央</w:t>
      </w:r>
      <w:r>
        <w:rPr>
          <w:rFonts w:hint="eastAsia" w:ascii="仿宋_GB2312" w:hAnsi="仿宋_GB2312" w:eastAsia="仿宋_GB2312" w:cs="仿宋_GB2312"/>
          <w:sz w:val="32"/>
          <w:szCs w:val="32"/>
          <w:lang w:eastAsia="zh-CN"/>
        </w:rPr>
        <w:t>全面</w:t>
      </w:r>
      <w:bookmarkStart w:id="1" w:name="_GoBack"/>
      <w:bookmarkEnd w:id="1"/>
      <w:r>
        <w:rPr>
          <w:rFonts w:hint="eastAsia" w:ascii="仿宋_GB2312" w:hAnsi="仿宋_GB2312" w:eastAsia="仿宋_GB2312" w:cs="仿宋_GB2312"/>
          <w:sz w:val="32"/>
          <w:szCs w:val="32"/>
        </w:rPr>
        <w:t>依法治国工作会议精神及法律法规学习列为中心组学习内容，同时纳入街道干部教育培训规划。重点面向街道执法人员开展法治专题培训，将《</w:t>
      </w:r>
      <w:r>
        <w:rPr>
          <w:rFonts w:hint="eastAsia" w:ascii="仿宋_GB2312" w:hAnsi="仿宋_GB2312" w:eastAsia="仿宋_GB2312" w:cs="仿宋_GB2312"/>
          <w:sz w:val="32"/>
          <w:szCs w:val="32"/>
          <w:lang w:eastAsia="zh-CN"/>
        </w:rPr>
        <w:t>中华人民共和国</w:t>
      </w:r>
      <w:r>
        <w:rPr>
          <w:rFonts w:hint="eastAsia" w:ascii="仿宋_GB2312" w:hAnsi="仿宋_GB2312" w:eastAsia="仿宋_GB2312" w:cs="仿宋_GB2312"/>
          <w:sz w:val="32"/>
          <w:szCs w:val="32"/>
        </w:rPr>
        <w:t>行政复议法》、《</w:t>
      </w:r>
      <w:r>
        <w:rPr>
          <w:rFonts w:hint="eastAsia" w:ascii="仿宋_GB2312" w:hAnsi="仿宋_GB2312" w:eastAsia="仿宋_GB2312" w:cs="仿宋_GB2312"/>
          <w:sz w:val="32"/>
          <w:szCs w:val="32"/>
          <w:lang w:eastAsia="zh-CN"/>
        </w:rPr>
        <w:t>中华人民共和国</w:t>
      </w:r>
      <w:r>
        <w:rPr>
          <w:rFonts w:hint="eastAsia" w:ascii="仿宋_GB2312" w:hAnsi="仿宋_GB2312" w:eastAsia="仿宋_GB2312" w:cs="仿宋_GB2312"/>
          <w:sz w:val="32"/>
          <w:szCs w:val="32"/>
        </w:rPr>
        <w:t>行政诉讼法》作为专题讲座重要内容，帮助执法人员明晰执法权限、规范执法程序，提升执法水平，营造依法行政的良好氛围。</w:t>
      </w:r>
    </w:p>
    <w:p w14:paraId="7053AA4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二是加强矛盾化解。</w:t>
      </w:r>
      <w:r>
        <w:rPr>
          <w:rFonts w:hint="eastAsia" w:ascii="仿宋_GB2312" w:hAnsi="仿宋_GB2312" w:eastAsia="仿宋_GB2312" w:cs="仿宋_GB2312"/>
          <w:sz w:val="32"/>
          <w:szCs w:val="32"/>
        </w:rPr>
        <w:t>关口前移，研判可能出现争议、引发诉讼的风险点，加大街道与申请人协调渠道，引入律师参与调解，从源头上预防和减少行政诉讼案件的发生。从源头化解矛盾，解决好行政争议案件，真正做到案结事了。</w:t>
      </w:r>
    </w:p>
    <w:p w14:paraId="483215B4">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三是扩大法律顾问参与度。</w:t>
      </w:r>
      <w:r>
        <w:rPr>
          <w:rFonts w:hint="eastAsia" w:ascii="仿宋_GB2312" w:hAnsi="仿宋_GB2312" w:eastAsia="仿宋_GB2312" w:cs="仿宋_GB2312"/>
          <w:sz w:val="32"/>
          <w:szCs w:val="32"/>
        </w:rPr>
        <w:t>充分发挥街道法律顾问把方向的职能作用，将法律顾问提供法律意见建议嵌入依法行政全流程，防范法律风险，妥善处理涉法事件，促进“法治政府”建设。</w:t>
      </w:r>
    </w:p>
    <w:p w14:paraId="74876966">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四是落实行政执法“三项制度”。</w:t>
      </w:r>
      <w:r>
        <w:rPr>
          <w:rFonts w:hint="eastAsia" w:ascii="仿宋_GB2312" w:hAnsi="仿宋_GB2312" w:eastAsia="仿宋_GB2312" w:cs="仿宋_GB2312"/>
          <w:sz w:val="32"/>
          <w:szCs w:val="32"/>
        </w:rPr>
        <w:t>在行政执法工作中，严格执行法律法规，坚持落实行政执法“三项制度”，坚持法律面前人人平等，不搞选择性执法，使人民群众对行政执法工作真正支持和认可。</w:t>
      </w:r>
    </w:p>
    <w:p w14:paraId="3CDF82DF">
      <w:pPr>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五是加大法</w:t>
      </w:r>
      <w:r>
        <w:rPr>
          <w:rFonts w:hint="eastAsia" w:ascii="仿宋_GB2312" w:hAnsi="仿宋_GB2312" w:eastAsia="仿宋_GB2312" w:cs="仿宋_GB2312"/>
          <w:b/>
          <w:bCs/>
          <w:sz w:val="32"/>
          <w:szCs w:val="32"/>
          <w:lang w:val="en-US" w:eastAsia="zh-CN"/>
        </w:rPr>
        <w:t>治</w:t>
      </w:r>
      <w:r>
        <w:rPr>
          <w:rFonts w:hint="eastAsia" w:ascii="仿宋_GB2312" w:hAnsi="仿宋_GB2312" w:eastAsia="仿宋_GB2312" w:cs="仿宋_GB2312"/>
          <w:b/>
          <w:bCs/>
          <w:sz w:val="32"/>
          <w:szCs w:val="32"/>
        </w:rPr>
        <w:t>工作力量。</w:t>
      </w:r>
      <w:r>
        <w:rPr>
          <w:rFonts w:hint="eastAsia" w:ascii="仿宋_GB2312" w:hAnsi="仿宋_GB2312" w:eastAsia="仿宋_GB2312" w:cs="仿宋_GB2312"/>
          <w:sz w:val="32"/>
          <w:szCs w:val="32"/>
        </w:rPr>
        <w:t>结合街道人员实际，选派1至2名具有一定法律知识的干部充实街道</w:t>
      </w:r>
      <w:r>
        <w:rPr>
          <w:rFonts w:hint="eastAsia" w:ascii="仿宋_GB2312" w:hAnsi="仿宋_GB2312" w:eastAsia="仿宋_GB2312" w:cs="仿宋_GB2312"/>
          <w:sz w:val="32"/>
          <w:szCs w:val="32"/>
          <w:lang w:val="en-US" w:eastAsia="zh-CN"/>
        </w:rPr>
        <w:t>法治</w:t>
      </w:r>
      <w:r>
        <w:rPr>
          <w:rFonts w:hint="eastAsia" w:ascii="仿宋_GB2312" w:hAnsi="仿宋_GB2312" w:eastAsia="仿宋_GB2312" w:cs="仿宋_GB2312"/>
          <w:sz w:val="32"/>
          <w:szCs w:val="32"/>
        </w:rPr>
        <w:t>队伍专门从事</w:t>
      </w:r>
      <w:r>
        <w:rPr>
          <w:rFonts w:hint="eastAsia" w:ascii="仿宋_GB2312" w:hAnsi="仿宋_GB2312" w:eastAsia="仿宋_GB2312" w:cs="仿宋_GB2312"/>
          <w:sz w:val="32"/>
          <w:szCs w:val="32"/>
          <w:lang w:val="en-US" w:eastAsia="zh-CN"/>
        </w:rPr>
        <w:t>法治</w:t>
      </w:r>
      <w:r>
        <w:rPr>
          <w:rFonts w:hint="eastAsia" w:ascii="仿宋_GB2312" w:hAnsi="仿宋_GB2312" w:eastAsia="仿宋_GB2312" w:cs="仿宋_GB2312"/>
          <w:sz w:val="32"/>
          <w:szCs w:val="32"/>
        </w:rPr>
        <w:t>工作，助推我街法治建设工作。</w:t>
      </w:r>
    </w:p>
    <w:p w14:paraId="487BA87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仿宋_GB2312" w:cs="Times New Roman"/>
          <w:sz w:val="32"/>
          <w:szCs w:val="32"/>
          <w:highlight w:val="none"/>
          <w:lang w:val="en-US" w:eastAsia="zh-CN"/>
        </w:rPr>
      </w:pPr>
      <w:r>
        <w:rPr>
          <w:rFonts w:hint="eastAsia" w:ascii="仿宋_GB2312" w:hAnsi="仿宋_GB2312" w:eastAsia="仿宋_GB2312" w:cs="仿宋_GB2312"/>
          <w:i w:val="0"/>
          <w:iCs w:val="0"/>
          <w:caps w:val="0"/>
          <w:color w:val="000000"/>
          <w:spacing w:val="0"/>
          <w:sz w:val="32"/>
          <w:szCs w:val="32"/>
        </w:rPr>
        <w:br w:type="textWrapping"/>
      </w:r>
      <w:r>
        <w:rPr>
          <w:rFonts w:hint="eastAsia" w:ascii="Times New Roman" w:hAnsi="Times New Roman" w:eastAsia="仿宋_GB2312" w:cs="Times New Roman"/>
          <w:sz w:val="32"/>
          <w:szCs w:val="32"/>
          <w:highlight w:val="none"/>
          <w:lang w:val="en-US" w:eastAsia="zh-CN"/>
        </w:rPr>
        <w:t xml:space="preserve">                    </w:t>
      </w:r>
    </w:p>
    <w:p w14:paraId="647FE2AC">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eastAsia" w:ascii="Times New Roman" w:hAnsi="Times New Roman" w:eastAsia="仿宋_GB2312" w:cs="Times New Roman"/>
          <w:sz w:val="32"/>
          <w:szCs w:val="32"/>
          <w:highlight w:val="none"/>
          <w:lang w:val="en-US" w:eastAsia="zh-CN"/>
        </w:rPr>
      </w:pPr>
    </w:p>
    <w:p w14:paraId="5E2C70C1">
      <w:pPr>
        <w:keepNext w:val="0"/>
        <w:keepLines w:val="0"/>
        <w:pageBreakBefore w:val="0"/>
        <w:widowControl w:val="0"/>
        <w:kinsoku/>
        <w:wordWrap/>
        <w:overflowPunct/>
        <w:topLinePunct w:val="0"/>
        <w:autoSpaceDE/>
        <w:autoSpaceDN/>
        <w:bidi w:val="0"/>
        <w:spacing w:line="560" w:lineRule="exact"/>
        <w:ind w:firstLine="3840" w:firstLineChars="12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军粮城街法治建设领导小组</w:t>
      </w:r>
    </w:p>
    <w:p w14:paraId="57AEC54E">
      <w:pPr>
        <w:keepNext w:val="0"/>
        <w:keepLines w:val="0"/>
        <w:pageBreakBefore w:val="0"/>
        <w:widowControl w:val="0"/>
        <w:kinsoku/>
        <w:wordWrap/>
        <w:overflowPunct/>
        <w:topLinePunct w:val="0"/>
        <w:autoSpaceDE/>
        <w:autoSpaceDN/>
        <w:bidi w:val="0"/>
        <w:spacing w:line="560" w:lineRule="exact"/>
        <w:ind w:firstLine="4480" w:firstLineChars="1400"/>
        <w:textAlignment w:val="auto"/>
        <w:rPr>
          <w:rFonts w:hint="default"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2025年12月29日</w:t>
      </w:r>
    </w:p>
    <w:p w14:paraId="58619B10">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14:paraId="5DB0BE47">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val="en-US" w:eastAsia="zh-CN"/>
        </w:rPr>
      </w:pPr>
    </w:p>
    <w:p w14:paraId="309D7CEC"/>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0AFF" w:usb1="00007843" w:usb2="00000001" w:usb3="00000000" w:csb0="400001BF" w:csb1="DFF7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文星仿宋">
    <w:altName w:val="宋体"/>
    <w:panose1 w:val="00000000000000000000"/>
    <w:charset w:val="00"/>
    <w:family w:val="auto"/>
    <w:pitch w:val="default"/>
    <w:sig w:usb0="00000000" w:usb1="00000000" w:usb2="00000010"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汉仪大黑简">
    <w:altName w:val="黑体"/>
    <w:panose1 w:val="02010600000101010101"/>
    <w:charset w:val="86"/>
    <w:family w:val="auto"/>
    <w:pitch w:val="default"/>
    <w:sig w:usb0="00000000" w:usb1="000000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D481AF">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91FF6B">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591FF6B">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8CE9459"/>
    <w:multiLevelType w:val="singleLevel"/>
    <w:tmpl w:val="E8CE9459"/>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3E11889"/>
    <w:rsid w:val="03E11889"/>
    <w:rsid w:val="12020B2D"/>
    <w:rsid w:val="1AD05CA5"/>
    <w:rsid w:val="1E0735AC"/>
    <w:rsid w:val="1F5B56D5"/>
    <w:rsid w:val="20DE4403"/>
    <w:rsid w:val="2249635E"/>
    <w:rsid w:val="233139A1"/>
    <w:rsid w:val="298C5CED"/>
    <w:rsid w:val="2AC05878"/>
    <w:rsid w:val="2DD27AAF"/>
    <w:rsid w:val="33503E39"/>
    <w:rsid w:val="33A61ACB"/>
    <w:rsid w:val="418411DC"/>
    <w:rsid w:val="43BE6E23"/>
    <w:rsid w:val="49CE6A3A"/>
    <w:rsid w:val="4FF05BC7"/>
    <w:rsid w:val="55E37889"/>
    <w:rsid w:val="57CA34A1"/>
    <w:rsid w:val="5F0936F0"/>
    <w:rsid w:val="634619AE"/>
    <w:rsid w:val="69D65CD5"/>
    <w:rsid w:val="711F30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rPr>
      <w:rFonts w:ascii="Times New Roman" w:eastAsia="文星仿宋"/>
      <w:kern w:val="0"/>
      <w:szCs w:val="24"/>
    </w:rPr>
  </w:style>
  <w:style w:type="paragraph" w:styleId="3">
    <w:name w:val="toc 5"/>
    <w:basedOn w:val="1"/>
    <w:next w:val="1"/>
    <w:qFormat/>
    <w:uiPriority w:val="0"/>
    <w:pPr>
      <w:ind w:left="1680" w:leftChars="800"/>
    </w:pPr>
  </w:style>
  <w:style w:type="paragraph" w:styleId="4">
    <w:name w:val="footer"/>
    <w:basedOn w:val="1"/>
    <w:qFormat/>
    <w:uiPriority w:val="0"/>
    <w:pPr>
      <w:tabs>
        <w:tab w:val="center" w:pos="4153"/>
        <w:tab w:val="right" w:pos="8306"/>
      </w:tabs>
      <w:snapToGrid w:val="0"/>
      <w:jc w:val="left"/>
    </w:pPr>
    <w:rPr>
      <w:sz w:val="18"/>
    </w:rPr>
  </w:style>
  <w:style w:type="paragraph" w:customStyle="1" w:styleId="7">
    <w:name w:val="页脚1"/>
    <w:basedOn w:val="8"/>
    <w:next w:val="1"/>
    <w:qFormat/>
    <w:uiPriority w:val="0"/>
    <w:pPr>
      <w:tabs>
        <w:tab w:val="center" w:pos="4153"/>
        <w:tab w:val="right" w:pos="8306"/>
      </w:tabs>
      <w:snapToGrid w:val="0"/>
      <w:jc w:val="left"/>
    </w:pPr>
    <w:rPr>
      <w:sz w:val="18"/>
      <w:szCs w:val="18"/>
    </w:rPr>
  </w:style>
  <w:style w:type="paragraph" w:customStyle="1" w:styleId="8">
    <w:name w:val="正文1"/>
    <w:qFormat/>
    <w:uiPriority w:val="0"/>
    <w:pPr>
      <w:widowControl w:val="0"/>
      <w:adjustRightInd w:val="0"/>
      <w:snapToGrid w:val="0"/>
      <w:spacing w:line="360" w:lineRule="auto"/>
      <w:ind w:firstLine="200" w:firstLineChars="200"/>
    </w:pPr>
    <w:rPr>
      <w:rFonts w:ascii="Times New Roman" w:hAnsi="Times New Roman"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4591</Words>
  <Characters>4684</Characters>
  <Lines>0</Lines>
  <Paragraphs>0</Paragraphs>
  <TotalTime>7</TotalTime>
  <ScaleCrop>false</ScaleCrop>
  <LinksUpToDate>false</LinksUpToDate>
  <CharactersWithSpaces>4727</CharactersWithSpaces>
  <Application>WPS Office_12.1.0.22215_F1E327BC-269C-435d-A152-05C5408002CA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2026-01-11T09:35:00Z</dcterms:created>
  <dc:creator>X</dc:creator>
  <cp:lastModifiedBy>douyuhan</cp:lastModifiedBy>
  <dcterms:modified xsi:type="dcterms:W3CDTF">2026-03-03T05:58:17Z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2052-12.1.0.22215</vt:lpwstr>
  </property>
  <property fmtid="{D5CDD505-2E9C-101B-9397-08002B2CF9AE}" pid="3" name="ICV">
    <vt:lpwstr>06BF71CB2FF24EE0AC630164A30E434B_13</vt:lpwstr>
  </property>
  <property fmtid="{D5CDD505-2E9C-101B-9397-08002B2CF9AE}" pid="4" name="KSOTemplateDocerSaveRecord">
    <vt:lpwstr>eyJoZGlkIjoiY2Y4OGUzNDZjZjViNzNlZDhiODhhMWFhODM3NjVjZDUiLCJ1c2VySWQiOiIyMjg1ODQ0NjYifQ==</vt:lpwstr>
  </property>
</Properties>
</file>