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0BA2A">
      <w:pPr>
        <w:spacing w:line="560" w:lineRule="exact"/>
        <w:rPr>
          <w:rFonts w:ascii="Times New Roman" w:hAnsi="Times New Roman" w:cs="Times New Roman"/>
        </w:rPr>
      </w:pPr>
    </w:p>
    <w:p w14:paraId="594A6FD8">
      <w:pPr>
        <w:pStyle w:val="3"/>
        <w:widowControl/>
        <w:shd w:val="clear" w:color="auto" w:fill="FFFFFF"/>
        <w:spacing w:beforeAutospacing="0" w:afterAutospacing="0" w:line="350" w:lineRule="atLeast"/>
        <w:jc w:val="center"/>
        <w:textAlignment w:val="baseline"/>
        <w:rPr>
          <w:rFonts w:hint="default" w:ascii="Times New Roman" w:hAnsi="Times New Roman" w:eastAsia="方正小标宋简体"/>
          <w:b w:val="0"/>
          <w:w w:val="98"/>
          <w:kern w:val="44"/>
          <w:sz w:val="44"/>
          <w:szCs w:val="44"/>
        </w:rPr>
      </w:pPr>
      <w:r>
        <w:rPr>
          <w:rFonts w:ascii="Times New Roman" w:hAnsi="Times New Roman" w:eastAsia="方正小标宋简体"/>
          <w:b w:val="0"/>
          <w:w w:val="98"/>
          <w:kern w:val="44"/>
          <w:sz w:val="44"/>
          <w:szCs w:val="44"/>
        </w:rPr>
        <w:t>东丽区人民政府2025年法治政府建设</w:t>
      </w:r>
    </w:p>
    <w:p w14:paraId="252EBADF">
      <w:pPr>
        <w:pStyle w:val="3"/>
        <w:widowControl/>
        <w:shd w:val="clear" w:color="auto" w:fill="FFFFFF"/>
        <w:spacing w:beforeAutospacing="0" w:afterAutospacing="0" w:line="350" w:lineRule="atLeast"/>
        <w:jc w:val="center"/>
        <w:textAlignment w:val="baseline"/>
        <w:rPr>
          <w:rFonts w:hint="default" w:ascii="Times New Roman" w:hAnsi="Times New Roman" w:eastAsia="方正小标宋简体"/>
          <w:b w:val="0"/>
          <w:w w:val="98"/>
          <w:kern w:val="44"/>
          <w:sz w:val="44"/>
          <w:szCs w:val="44"/>
        </w:rPr>
      </w:pPr>
      <w:r>
        <w:rPr>
          <w:rFonts w:ascii="Times New Roman" w:hAnsi="Times New Roman" w:eastAsia="方正小标宋简体"/>
          <w:b w:val="0"/>
          <w:w w:val="98"/>
          <w:kern w:val="44"/>
          <w:sz w:val="44"/>
          <w:szCs w:val="44"/>
        </w:rPr>
        <w:t>情况报告</w:t>
      </w:r>
    </w:p>
    <w:p w14:paraId="52399FFA">
      <w:pPr>
        <w:spacing w:line="560" w:lineRule="exact"/>
        <w:rPr>
          <w:rFonts w:ascii="Times New Roman" w:hAnsi="Times New Roman" w:eastAsia="仿宋_GB2312" w:cs="Times New Roman"/>
          <w:sz w:val="32"/>
          <w:szCs w:val="32"/>
        </w:rPr>
      </w:pPr>
    </w:p>
    <w:p w14:paraId="595ED448">
      <w:pPr>
        <w:spacing w:line="560" w:lineRule="exact"/>
        <w:ind w:firstLine="640" w:firstLineChars="200"/>
        <w:rPr>
          <w:rFonts w:ascii="Times New Roman" w:hAnsi="Times New Roman" w:eastAsia="仿宋_GB2312" w:cs="Times New Roman"/>
          <w:color w:val="0000FF"/>
          <w:sz w:val="32"/>
          <w:szCs w:val="32"/>
        </w:rPr>
      </w:pPr>
      <w:r>
        <w:rPr>
          <w:rFonts w:ascii="Times New Roman" w:hAnsi="Times New Roman" w:eastAsia="仿宋_GB2312" w:cs="Times New Roman"/>
          <w:sz w:val="32"/>
          <w:szCs w:val="32"/>
        </w:rPr>
        <w:t>2025年，东丽区坚持以习近平新时代中国特色社会主义思想为指导，全面贯彻党的二十大和二十届历次全会精神，深入学习贯彻习近平法治思想和习近平总书记视察天津重要讲话精神，认真落实市委、市政府关于法治政府建设的部署要求，扎实推进各项任务落地见效。全区依法行政能力稳步提升，法治建设根基更加牢固，法治政府建设取得新成效，为区域高质量发展筑牢坚实法治基础。</w:t>
      </w:r>
    </w:p>
    <w:p w14:paraId="4A336E8E">
      <w:pPr>
        <w:spacing w:line="560" w:lineRule="exact"/>
        <w:ind w:firstLine="640" w:firstLineChars="200"/>
        <w:outlineLvl w:val="0"/>
        <w:rPr>
          <w:rFonts w:ascii="Times New Roman" w:hAnsi="Times New Roman" w:eastAsia="黑体" w:cs="Times New Roman"/>
          <w:bCs/>
          <w:sz w:val="32"/>
          <w:szCs w:val="32"/>
        </w:rPr>
      </w:pPr>
      <w:bookmarkStart w:id="0" w:name="heading_0"/>
      <w:r>
        <w:rPr>
          <w:rFonts w:ascii="Times New Roman" w:hAnsi="Times New Roman" w:eastAsia="黑体" w:cs="Times New Roman"/>
          <w:bCs/>
          <w:sz w:val="32"/>
          <w:szCs w:val="32"/>
        </w:rPr>
        <w:t>一、主要工作举措和成效</w:t>
      </w:r>
      <w:bookmarkEnd w:id="0"/>
    </w:p>
    <w:p w14:paraId="2D5FCC31">
      <w:pPr>
        <w:spacing w:line="560" w:lineRule="exact"/>
        <w:ind w:firstLine="640" w:firstLineChars="200"/>
        <w:outlineLvl w:val="1"/>
        <w:rPr>
          <w:rFonts w:ascii="Times New Roman" w:hAnsi="Times New Roman" w:eastAsia="楷体_GB2312" w:cs="Times New Roman"/>
          <w:bCs/>
          <w:sz w:val="32"/>
          <w:szCs w:val="32"/>
        </w:rPr>
      </w:pPr>
      <w:bookmarkStart w:id="1" w:name="heading_1"/>
      <w:r>
        <w:rPr>
          <w:rFonts w:ascii="Times New Roman" w:hAnsi="Times New Roman" w:eastAsia="楷体_GB2312" w:cs="Times New Roman"/>
          <w:bCs/>
          <w:sz w:val="32"/>
          <w:szCs w:val="32"/>
        </w:rPr>
        <w:t>（一）坚持政治引领，推动法治政府建设走深走实</w:t>
      </w:r>
      <w:bookmarkEnd w:id="1"/>
    </w:p>
    <w:p w14:paraId="25B8CEB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委、区政府将学习宣传贯彻习近平法治思想作为重大政治任务，主要负责同志切实履行法治建设第一责任人职责，带头尊法学法守法用法。区政府常务会议专题听取工作汇报、部署重点任务，严格落实常务会前学法制度，围绕《习近平法治思想学习纲要（</w:t>
      </w:r>
      <w:r>
        <w:rPr>
          <w:rFonts w:ascii="Times New Roman" w:hAnsi="Times New Roman" w:eastAsia="仿宋_GB2312" w:cs="Times New Roman"/>
          <w:color w:val="000000"/>
          <w:sz w:val="32"/>
          <w:szCs w:val="32"/>
        </w:rPr>
        <w:t>2025</w:t>
      </w:r>
      <w:r>
        <w:rPr>
          <w:rFonts w:ascii="Times New Roman" w:hAnsi="Times New Roman" w:eastAsia="仿宋_GB2312" w:cs="Times New Roman"/>
          <w:sz w:val="32"/>
          <w:szCs w:val="32"/>
        </w:rPr>
        <w:t>年版）》《中华人民共和国审计法》《中华人民共和国安全生产法》等内容开展集体学法。各街道、各部门将法治政府建设纳入年度重点工作，定期研究推进，压实党政机关主要负责人推进法治建设第一责任人职责，高质量完成2024年度505名领导干部述法工作。严格落实领导干部应知应会党内法规和国家法律清单制度，举办依法治区与法治政府建设专题研讨班，组织任前考法、旁听庭审、骨干培训、网上学法、集中考法等活动，覆盖4800余人次，各级领导干部法治思维和依法办事能力得到进一步增强。组织全区各单位开展执法人员培训，累计举办培训活动</w:t>
      </w:r>
      <w:r>
        <w:rPr>
          <w:rFonts w:ascii="Times New Roman" w:hAnsi="Times New Roman" w:eastAsia="仿宋_GB2312" w:cs="Times New Roman"/>
          <w:color w:val="000000"/>
          <w:sz w:val="32"/>
          <w:szCs w:val="32"/>
        </w:rPr>
        <w:t>137</w:t>
      </w:r>
      <w:r>
        <w:rPr>
          <w:rFonts w:ascii="Times New Roman" w:hAnsi="Times New Roman" w:eastAsia="仿宋_GB2312" w:cs="Times New Roman"/>
          <w:sz w:val="32"/>
          <w:szCs w:val="32"/>
        </w:rPr>
        <w:t>场，组织887名执法人员参加公共法律知识培训考试。强化示范案例培育，其中《东丽区开展京津冀交通运输区域执法案》入选2024年度全市行政执法“示范优案”，《践行人民城市理念 满足群众多元化需求 东丽区创新“房票”还迁安置方式》项目入选《2025年度天津市法治政府建设优秀案例目录》。</w:t>
      </w:r>
    </w:p>
    <w:p w14:paraId="335D63A2">
      <w:pPr>
        <w:spacing w:line="560" w:lineRule="exact"/>
        <w:ind w:firstLine="640" w:firstLineChars="200"/>
        <w:outlineLvl w:val="1"/>
        <w:rPr>
          <w:rFonts w:ascii="Times New Roman" w:hAnsi="Times New Roman" w:eastAsia="楷体_GB2312" w:cs="Times New Roman"/>
          <w:bCs/>
          <w:sz w:val="32"/>
          <w:szCs w:val="32"/>
        </w:rPr>
      </w:pPr>
      <w:bookmarkStart w:id="2" w:name="heading_2"/>
      <w:r>
        <w:rPr>
          <w:rFonts w:ascii="Times New Roman" w:hAnsi="Times New Roman" w:eastAsia="楷体_GB2312" w:cs="Times New Roman"/>
          <w:bCs/>
          <w:sz w:val="32"/>
          <w:szCs w:val="32"/>
        </w:rPr>
        <w:t>（二）做优营商环境，促进市场活力持续迸发</w:t>
      </w:r>
      <w:bookmarkEnd w:id="2"/>
    </w:p>
    <w:p w14:paraId="19E68436">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健全营商服务体系。落实营商环境提升专项行动，出台营商环境白皮书及合规引导告知举措工作方案，推动天津市可持续航空燃料中心、经开区“宜商驿站”、知识产权质押融资等项目落地。实施“政企同行·有需必应”方案，划分65个网格片区，组建100余人服务团队，覆盖企业1万余家次。优化“丽企办”服务，推出8项创新举措，审批材料准备时间、办理时限分别压缩60%、66%，服务响应效率提升50%。</w:t>
      </w:r>
    </w:p>
    <w:p w14:paraId="4176D2AB">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提升政务服务效能。公布《行政许可事项清单》和市场准入负面清单，制定“免申即享”“中介要件”“告知承诺”“证明材料”清单并向社会公布，明确行政许可边界，动态发布涵盖512个事项的区级非许可类事项清单。推进政务服务规范化，办事大厅开设综合受理专区，全面实现“前台综合受理、后台分类审批、统一窗口出件”模式。</w:t>
      </w:r>
    </w:p>
    <w:p w14:paraId="257E10DD">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rPr>
        <w:t>加强市场监管质效。</w:t>
      </w:r>
      <w:r>
        <w:rPr>
          <w:rFonts w:ascii="Times New Roman" w:hAnsi="Times New Roman" w:eastAsia="仿宋_GB2312" w:cs="Times New Roman"/>
          <w:color w:val="000000"/>
          <w:sz w:val="32"/>
          <w:szCs w:val="32"/>
        </w:rPr>
        <w:t>全面推行“双随机、一公开”监管，实施信用分级分类监管，推进“进一次门、查多项事”综合监管模式，牵头25个监管部门制定并公示抽查工作计划和联合抽查事项清单，</w:t>
      </w:r>
      <w:r>
        <w:rPr>
          <w:rFonts w:ascii="Times New Roman" w:hAnsi="Times New Roman" w:eastAsia="仿宋_GB2312" w:cs="Times New Roman"/>
          <w:sz w:val="32"/>
          <w:szCs w:val="32"/>
        </w:rPr>
        <w:t>开展跨</w:t>
      </w:r>
      <w:r>
        <w:rPr>
          <w:rFonts w:ascii="Times New Roman" w:hAnsi="Times New Roman" w:eastAsia="仿宋_GB2312" w:cs="Times New Roman"/>
          <w:color w:val="000000"/>
          <w:sz w:val="32"/>
          <w:szCs w:val="32"/>
        </w:rPr>
        <w:t>部门联合抽查47次，减少重复检查299次。全年新增市场主体同比增长3.61%，市场活力持续释放。</w:t>
      </w:r>
    </w:p>
    <w:p w14:paraId="549F8A5E">
      <w:pPr>
        <w:spacing w:line="560" w:lineRule="exact"/>
        <w:ind w:firstLine="640" w:firstLineChars="200"/>
        <w:outlineLvl w:val="1"/>
        <w:rPr>
          <w:rFonts w:ascii="Times New Roman" w:hAnsi="Times New Roman" w:eastAsia="楷体_GB2312" w:cs="Times New Roman"/>
          <w:bCs/>
          <w:sz w:val="32"/>
          <w:szCs w:val="32"/>
        </w:rPr>
      </w:pPr>
      <w:bookmarkStart w:id="3" w:name="heading_3"/>
      <w:r>
        <w:rPr>
          <w:rFonts w:ascii="Times New Roman" w:hAnsi="Times New Roman" w:eastAsia="楷体_GB2312" w:cs="Times New Roman"/>
          <w:bCs/>
          <w:sz w:val="32"/>
          <w:szCs w:val="32"/>
        </w:rPr>
        <w:t>（三）严格决策程序，全面提升依法行政水平</w:t>
      </w:r>
      <w:bookmarkEnd w:id="3"/>
    </w:p>
    <w:p w14:paraId="4062B60C">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编制《东丽区人民政府2025年度重大行政决策事项目录》，明确5项重大行政决策事项，严格规范履行法定决策程序，切实提升重大</w:t>
      </w:r>
      <w:r>
        <w:rPr>
          <w:rFonts w:hint="eastAsia" w:ascii="Times New Roman" w:hAnsi="Times New Roman" w:eastAsia="仿宋_GB2312" w:cs="Times New Roman"/>
          <w:color w:val="000000"/>
          <w:sz w:val="32"/>
          <w:szCs w:val="32"/>
        </w:rPr>
        <w:t>行政决策工作科学化、民主化、法治化水平。强化合法性审核和部门规范性文件备案审查，对重大行政决策、规范性文件等各类文件提出审核意见148条。</w:t>
      </w:r>
      <w:r>
        <w:rPr>
          <w:rFonts w:ascii="Times New Roman" w:hAnsi="Times New Roman" w:eastAsia="仿宋_GB2312" w:cs="Times New Roman"/>
          <w:color w:val="000000"/>
          <w:sz w:val="32"/>
          <w:szCs w:val="32"/>
        </w:rPr>
        <w:t>充分</w:t>
      </w:r>
      <w:r>
        <w:rPr>
          <w:rFonts w:ascii="Times New Roman" w:hAnsi="Times New Roman" w:eastAsia="仿宋_GB2312" w:cs="Times New Roman"/>
          <w:sz w:val="32"/>
          <w:szCs w:val="32"/>
        </w:rPr>
        <w:t>发挥党政机关法律顾问和公职律师作用，从源头防范法律风险，全年共办理法律事务15557件，有效保障行政决策合法合规。</w:t>
      </w:r>
    </w:p>
    <w:p w14:paraId="05A4B2EB">
      <w:pPr>
        <w:spacing w:line="560" w:lineRule="exact"/>
        <w:ind w:firstLine="640" w:firstLineChars="200"/>
        <w:outlineLvl w:val="1"/>
        <w:rPr>
          <w:rFonts w:ascii="Times New Roman" w:hAnsi="Times New Roman" w:eastAsia="楷体_GB2312" w:cs="Times New Roman"/>
          <w:bCs/>
          <w:sz w:val="32"/>
          <w:szCs w:val="32"/>
        </w:rPr>
      </w:pPr>
      <w:bookmarkStart w:id="4" w:name="heading_4"/>
      <w:r>
        <w:rPr>
          <w:rFonts w:ascii="Times New Roman" w:hAnsi="Times New Roman" w:eastAsia="楷体_GB2312" w:cs="Times New Roman"/>
          <w:bCs/>
          <w:sz w:val="32"/>
          <w:szCs w:val="32"/>
        </w:rPr>
        <w:t>（四）规范执法行为，不断提升行政执法效能</w:t>
      </w:r>
      <w:bookmarkEnd w:id="4"/>
    </w:p>
    <w:p w14:paraId="6BD15685">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完善执法工作机制。全面评估授权街道综合执法事项，确定收回92项、取消25项。制发《关于街道行政执法边界有关法律问题的提示函》，厘清执法边界，减少执法争议。开展“行刑衔接”专项调研，举办专题培训，937名法制审核人员、执法监督人员及一线执法人员参训。深化京津冀执法协同，通过全国市场监管行政执法平台发出协查函31件、接收10件，均按时办结。</w:t>
      </w:r>
    </w:p>
    <w:p w14:paraId="6550F02E">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聚焦重点领域执法。严打电诈犯罪，刑事立案、治安立案同比“双下降”。持续开展酒驾醉驾、“三超一疲劳”、危化品、易肇事肇祸、一盔一带等专项治理行动186次，常态化开展环保治理行动102次。加大安全生产执法检查力度，确保重大活动期间安全稳定。</w:t>
      </w:r>
    </w:p>
    <w:p w14:paraId="7A5FBE77">
      <w:pPr>
        <w:spacing w:line="560" w:lineRule="exact"/>
        <w:ind w:firstLine="643" w:firstLineChars="200"/>
        <w:outlineLvl w:val="1"/>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rPr>
        <w:t>严格行政执法程序。执行行政执法“三项制度”及裁量权基准，开展规范涉企执法专项行动，确认40个涉企检查主体、282项街道涉企检查事项，落实“清单之外无检查”</w:t>
      </w:r>
      <w:r>
        <w:rPr>
          <w:rFonts w:hint="eastAsia" w:ascii="Times New Roman" w:hAnsi="Times New Roman" w:eastAsia="仿宋_GB2312" w:cs="Times New Roman"/>
          <w:sz w:val="32"/>
          <w:szCs w:val="32"/>
          <w:lang w:eastAsia="zh-CN"/>
        </w:rPr>
        <w:t>。</w:t>
      </w:r>
      <w:bookmarkStart w:id="5" w:name="heading_5"/>
      <w:r>
        <w:rPr>
          <w:rFonts w:hint="eastAsia" w:ascii="Times New Roman" w:hAnsi="Times New Roman" w:eastAsia="仿宋_GB2312" w:cs="Times New Roman"/>
          <w:sz w:val="32"/>
          <w:szCs w:val="32"/>
          <w:lang w:eastAsia="zh-CN"/>
        </w:rPr>
        <w:t>推行综合查一次、非现场监管等方式，涉企行政检查</w:t>
      </w:r>
      <w:r>
        <w:rPr>
          <w:rFonts w:hint="eastAsia" w:ascii="Times New Roman" w:hAnsi="Times New Roman" w:eastAsia="仿宋_GB2312" w:cs="Times New Roman"/>
          <w:sz w:val="32"/>
          <w:szCs w:val="32"/>
          <w:lang w:val="en-US" w:eastAsia="zh-CN"/>
        </w:rPr>
        <w:t>次数</w:t>
      </w:r>
      <w:r>
        <w:rPr>
          <w:rFonts w:hint="eastAsia" w:ascii="Times New Roman" w:hAnsi="Times New Roman" w:eastAsia="仿宋_GB2312" w:cs="Times New Roman"/>
          <w:sz w:val="32"/>
          <w:szCs w:val="32"/>
          <w:lang w:eastAsia="zh-CN"/>
        </w:rPr>
        <w:t>同比下降 36.14%，实现检查次数下降、监管质效提升、执法精准度增强。</w:t>
      </w:r>
    </w:p>
    <w:p w14:paraId="346EEF27">
      <w:pPr>
        <w:spacing w:line="560" w:lineRule="exact"/>
        <w:ind w:firstLine="640" w:firstLineChars="200"/>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（五）夯实治理根基，全力维护社会和谐稳定</w:t>
      </w:r>
      <w:bookmarkEnd w:id="5"/>
    </w:p>
    <w:p w14:paraId="31C0B9F9">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加强应急处置和保障。推进基层应急管理标准化建设，完成30个专项预案应急处置卡编制，制定《东丽区社会应急力量参与重特大灾害抢险救援行动协调机制》。引导东丽平安蓝天救援队面向社区、学校开展防灾减灾宣传教育，参与重要赛事保障工作。</w:t>
      </w:r>
    </w:p>
    <w:p w14:paraId="509E7A28">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拓展矛盾纠纷调处。坚持新时代“枫桥经验”，拓展知识产权、物业等领域调解服务，健全“三所联动”“三室联建”机制。全区调解组织排查矛盾</w:t>
      </w:r>
      <w:r>
        <w:rPr>
          <w:rFonts w:hint="eastAsia" w:ascii="Times New Roman" w:hAnsi="Times New Roman" w:eastAsia="仿宋_GB2312" w:cs="Times New Roman"/>
          <w:sz w:val="32"/>
          <w:szCs w:val="32"/>
        </w:rPr>
        <w:t>纠纷</w:t>
      </w:r>
      <w:r>
        <w:rPr>
          <w:rFonts w:ascii="Times New Roman" w:hAnsi="Times New Roman" w:eastAsia="仿宋_GB2312" w:cs="Times New Roman"/>
          <w:sz w:val="32"/>
          <w:szCs w:val="32"/>
        </w:rPr>
        <w:t>6000余次，化解</w:t>
      </w:r>
      <w:r>
        <w:rPr>
          <w:rFonts w:hint="eastAsia" w:ascii="Times New Roman" w:hAnsi="Times New Roman" w:eastAsia="仿宋_GB2312" w:cs="Times New Roman"/>
          <w:sz w:val="32"/>
          <w:szCs w:val="32"/>
        </w:rPr>
        <w:t>矛盾</w:t>
      </w:r>
      <w:r>
        <w:rPr>
          <w:rFonts w:ascii="Times New Roman" w:hAnsi="Times New Roman" w:eastAsia="仿宋_GB2312" w:cs="Times New Roman"/>
          <w:sz w:val="32"/>
          <w:szCs w:val="32"/>
        </w:rPr>
        <w:t>纠纷4621件，同比增长20%。</w:t>
      </w:r>
    </w:p>
    <w:p w14:paraId="47858A39">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lang w:val="en-US" w:eastAsia="zh-CN"/>
        </w:rPr>
        <w:t>强化行政复议主渠道作用。推广 “在线复议” 渠道，不断提升行政复议案件办理质效，积极运用调解、和解方式推动行政争议实质化解。行政复议案件</w:t>
      </w:r>
      <w:r>
        <w:rPr>
          <w:rFonts w:hint="eastAsia" w:ascii="Times New Roman" w:hAnsi="Times New Roman" w:eastAsia="仿宋_GB2312" w:cs="Times New Roman"/>
          <w:sz w:val="32"/>
          <w:szCs w:val="32"/>
          <w:lang w:val="en-US" w:eastAsia="zh-CN"/>
        </w:rPr>
        <w:t>数量同比增长41.82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，超过行政诉讼一审案件数量，</w:t>
      </w:r>
      <w:r>
        <w:rPr>
          <w:rFonts w:ascii="Times New Roman" w:hAnsi="Times New Roman" w:eastAsia="仿宋_GB2312" w:cs="Times New Roman"/>
          <w:sz w:val="32"/>
          <w:szCs w:val="32"/>
        </w:rPr>
        <w:t>行政复议作为化解行政争议主渠道的作用日益凸显。</w:t>
      </w:r>
    </w:p>
    <w:p w14:paraId="21518981">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四是</w:t>
      </w:r>
      <w:r>
        <w:rPr>
          <w:rFonts w:ascii="Times New Roman" w:hAnsi="Times New Roman" w:eastAsia="仿宋_GB2312" w:cs="Times New Roman"/>
          <w:sz w:val="32"/>
          <w:szCs w:val="32"/>
        </w:rPr>
        <w:t>优化法律服务供给。深化公共法律服务提升行动，整合三大平台资源，全年提供法律服务6158件。法律援助受理案件294件，办理各类公证2922件，开展普法宣传700余场，推动“八五”普法圆满收官。</w:t>
      </w:r>
    </w:p>
    <w:p w14:paraId="4503A14B">
      <w:pPr>
        <w:spacing w:line="560" w:lineRule="exact"/>
        <w:ind w:firstLine="640" w:firstLineChars="200"/>
        <w:outlineLvl w:val="1"/>
        <w:rPr>
          <w:rFonts w:ascii="Times New Roman" w:hAnsi="Times New Roman" w:eastAsia="楷体_GB2312" w:cs="Times New Roman"/>
          <w:bCs/>
          <w:sz w:val="32"/>
          <w:szCs w:val="32"/>
        </w:rPr>
      </w:pPr>
      <w:bookmarkStart w:id="6" w:name="heading_6"/>
      <w:r>
        <w:rPr>
          <w:rFonts w:ascii="Times New Roman" w:hAnsi="Times New Roman" w:eastAsia="楷体_GB2312" w:cs="Times New Roman"/>
          <w:bCs/>
          <w:sz w:val="32"/>
          <w:szCs w:val="32"/>
        </w:rPr>
        <w:t>（六）深化数字赋能，推进政府治理智能化现代化</w:t>
      </w:r>
      <w:bookmarkEnd w:id="6"/>
    </w:p>
    <w:p w14:paraId="35799093">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升级网上审批服务。落实“证照分离”“跨省通办”等改革，网上办件率达99%。全面落实国家、市级33个“一件事”场景应用，解答咨询超2.5万人次，指导帮办6.7万余件次；创新推出10项区级“一件事”，办理3500余件次，效能平均提升50%以上。</w:t>
      </w:r>
    </w:p>
    <w:p w14:paraId="000B0A1F">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推进政务数据共享。更新完善政务数据目录2609条，建立全量编制、动态管理的政务数据目录管理机制，制定数据共享责任清单，明确42个部门的数据共享义务；编制公共数据开放清单，包含527条无条件开放目录，持续提升政务数据共享开放和开发利用水平，充分释放数据价值。</w:t>
      </w:r>
    </w:p>
    <w:p w14:paraId="4ABED953">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rPr>
        <w:t>激发智慧监管效能。推动“互联网＋监管”平台数据汇聚，应用“津城管”小程序实现装修垃圾闭环管理。深化交通运输非现治超实践，生态环境领域启用智能设备，实现“监管不扰企、违法早发现”。</w:t>
      </w:r>
    </w:p>
    <w:p w14:paraId="5DAE0270">
      <w:pPr>
        <w:spacing w:line="560" w:lineRule="exact"/>
        <w:ind w:firstLine="640" w:firstLineChars="200"/>
        <w:outlineLvl w:val="1"/>
        <w:rPr>
          <w:rFonts w:ascii="Times New Roman" w:hAnsi="Times New Roman" w:eastAsia="楷体_GB2312" w:cs="Times New Roman"/>
          <w:bCs/>
          <w:sz w:val="32"/>
          <w:szCs w:val="32"/>
        </w:rPr>
      </w:pPr>
      <w:bookmarkStart w:id="7" w:name="heading_7"/>
      <w:r>
        <w:rPr>
          <w:rFonts w:ascii="Times New Roman" w:hAnsi="Times New Roman" w:eastAsia="楷体_GB2312" w:cs="Times New Roman"/>
          <w:bCs/>
          <w:sz w:val="32"/>
          <w:szCs w:val="32"/>
        </w:rPr>
        <w:t>（七）抓实制约监督，保障行政权力规范运行</w:t>
      </w:r>
      <w:bookmarkEnd w:id="7"/>
    </w:p>
    <w:p w14:paraId="208AB7A8">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深化政务公开。办理区政府信息公开申请180件，各单位通过区政府网站主动公开各类信息1.1万余条，及时清理撤销不需长期保留或不具备实际效用的各类信息1.5万余条，全区47家单位编制主动公开目录并集中专题公开。</w:t>
      </w:r>
    </w:p>
    <w:p w14:paraId="29637028">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加大政府督查力度。落实《政府督查工作条例》，制定7大类48项年度重点督查工作计划，办理国务院“互联网+督查”线索20条，形成督查报告及专报74篇，督促各级行政机关依法全面履职。</w:t>
      </w:r>
    </w:p>
    <w:p w14:paraId="19D3F1A5">
      <w:pPr>
        <w:adjustRightInd w:val="0"/>
        <w:snapToGrid w:val="0"/>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rPr>
        <w:t>凝聚多方监督合力。开展“线上+线下”执法案卷评查，建立全闭环监督机制，聘任7名特邀行政执法监督员，设立10家行政执法监督企业联系点。强化各类监督联动，深化府院联动，全区行政机关负责人出庭率保持100%。</w:t>
      </w:r>
    </w:p>
    <w:p w14:paraId="2F516D01">
      <w:pPr>
        <w:spacing w:line="560" w:lineRule="exact"/>
        <w:ind w:firstLine="640" w:firstLineChars="200"/>
        <w:outlineLvl w:val="0"/>
        <w:rPr>
          <w:rFonts w:ascii="Times New Roman" w:hAnsi="Times New Roman" w:eastAsia="黑体" w:cs="Times New Roman"/>
          <w:bCs/>
          <w:sz w:val="32"/>
          <w:szCs w:val="32"/>
        </w:rPr>
      </w:pPr>
      <w:bookmarkStart w:id="8" w:name="heading_8"/>
      <w:r>
        <w:rPr>
          <w:rFonts w:ascii="Times New Roman" w:hAnsi="Times New Roman" w:eastAsia="黑体" w:cs="Times New Roman"/>
          <w:bCs/>
          <w:sz w:val="32"/>
          <w:szCs w:val="32"/>
        </w:rPr>
        <w:t>二、存在</w:t>
      </w:r>
      <w:r>
        <w:rPr>
          <w:rFonts w:hint="eastAsia" w:ascii="Times New Roman" w:hAnsi="Times New Roman" w:eastAsia="黑体" w:cs="Times New Roman"/>
          <w:bCs/>
          <w:sz w:val="32"/>
          <w:szCs w:val="32"/>
        </w:rPr>
        <w:t>的</w:t>
      </w:r>
      <w:r>
        <w:rPr>
          <w:rFonts w:hint="eastAsia" w:ascii="Times New Roman" w:hAnsi="Times New Roman" w:eastAsia="黑体" w:cs="Times New Roman"/>
          <w:bCs/>
          <w:sz w:val="32"/>
          <w:szCs w:val="32"/>
          <w:lang w:val="en-US" w:eastAsia="zh-CN"/>
        </w:rPr>
        <w:t>主要</w:t>
      </w:r>
      <w:r>
        <w:rPr>
          <w:rFonts w:ascii="Times New Roman" w:hAnsi="Times New Roman" w:eastAsia="黑体" w:cs="Times New Roman"/>
          <w:bCs/>
          <w:sz w:val="32"/>
          <w:szCs w:val="32"/>
        </w:rPr>
        <w:t>问题</w:t>
      </w:r>
      <w:bookmarkEnd w:id="8"/>
    </w:p>
    <w:p w14:paraId="5A90020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虽然我区法治政府建设取得了一定成效，但仍存在一些问题和短板：一是行政争议实质性化解效能发挥还不够充分。二是依法行政质量有待提升，执法规范性尚需加强。在本年度日常执法监督和执法案卷评查中，发现个别执法案件存在执法程序瑕疵、证据收集不完整、文书制作不严谨等</w:t>
      </w:r>
      <w:r>
        <w:rPr>
          <w:rFonts w:hint="eastAsia" w:ascii="Times New Roman" w:hAnsi="Times New Roman" w:eastAsia="仿宋_GB2312" w:cs="Times New Roman"/>
          <w:sz w:val="32"/>
          <w:szCs w:val="32"/>
        </w:rPr>
        <w:t>情况</w:t>
      </w:r>
      <w:r>
        <w:rPr>
          <w:rFonts w:ascii="Times New Roman" w:hAnsi="Times New Roman" w:eastAsia="仿宋_GB2312" w:cs="Times New Roman"/>
          <w:sz w:val="32"/>
          <w:szCs w:val="32"/>
        </w:rPr>
        <w:t>。三是少数单位依法行政意识不强，法律素养和专业能力与新形势下的执法需求不相适应，高效应对多元化执法场景的执法能力不足。</w:t>
      </w:r>
    </w:p>
    <w:p w14:paraId="2C461417">
      <w:pPr>
        <w:spacing w:line="560" w:lineRule="exact"/>
        <w:ind w:firstLine="640" w:firstLineChars="200"/>
        <w:outlineLvl w:val="0"/>
        <w:rPr>
          <w:rFonts w:ascii="Times New Roman" w:hAnsi="Times New Roman" w:eastAsia="黑体" w:cs="Times New Roman"/>
          <w:bCs/>
          <w:sz w:val="32"/>
          <w:szCs w:val="32"/>
        </w:rPr>
      </w:pPr>
      <w:bookmarkStart w:id="9" w:name="heading_9"/>
      <w:r>
        <w:rPr>
          <w:rFonts w:ascii="Times New Roman" w:hAnsi="Times New Roman" w:eastAsia="黑体" w:cs="Times New Roman"/>
          <w:bCs/>
          <w:sz w:val="32"/>
          <w:szCs w:val="32"/>
        </w:rPr>
        <w:t>三、2026年</w:t>
      </w:r>
      <w:r>
        <w:rPr>
          <w:rFonts w:hint="eastAsia" w:ascii="Times New Roman" w:hAnsi="Times New Roman" w:eastAsia="黑体" w:cs="Times New Roman"/>
          <w:bCs/>
          <w:sz w:val="32"/>
          <w:szCs w:val="32"/>
        </w:rPr>
        <w:t>主要</w:t>
      </w:r>
      <w:r>
        <w:rPr>
          <w:rFonts w:ascii="Times New Roman" w:hAnsi="Times New Roman" w:eastAsia="黑体" w:cs="Times New Roman"/>
          <w:bCs/>
          <w:sz w:val="32"/>
          <w:szCs w:val="32"/>
        </w:rPr>
        <w:t>工作安排</w:t>
      </w:r>
      <w:bookmarkEnd w:id="9"/>
    </w:p>
    <w:p w14:paraId="237D0955">
      <w:pPr>
        <w:spacing w:line="560" w:lineRule="exact"/>
        <w:ind w:firstLine="640" w:firstLineChars="200"/>
        <w:outlineLvl w:val="1"/>
        <w:rPr>
          <w:rFonts w:ascii="Times New Roman" w:hAnsi="Times New Roman" w:eastAsia="楷体_GB2312" w:cs="Times New Roman"/>
          <w:bCs/>
          <w:sz w:val="32"/>
          <w:szCs w:val="32"/>
        </w:rPr>
      </w:pPr>
      <w:bookmarkStart w:id="10" w:name="heading_10"/>
      <w:r>
        <w:rPr>
          <w:rFonts w:ascii="Times New Roman" w:hAnsi="Times New Roman" w:eastAsia="楷体_GB2312" w:cs="Times New Roman"/>
          <w:bCs/>
          <w:sz w:val="32"/>
          <w:szCs w:val="32"/>
        </w:rPr>
        <w:t>（一）深化习近平法治思想学用转化</w:t>
      </w:r>
      <w:bookmarkEnd w:id="10"/>
    </w:p>
    <w:p w14:paraId="00658E8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聚焦领导干部“关键少数”，将习近平法治思想纳入各级领导干部必修核心课程，通过专题研讨、案例教学、现场观摩等形式，引导领导干部深刻领悟核心要义与实践要求，运用法治思维破解项目建设、风险防控、民生保障等领域的突出矛盾和难点问题。健全法治建设与经济社会发展协同机制，强化法治保障作用。</w:t>
      </w:r>
    </w:p>
    <w:p w14:paraId="426132E7">
      <w:pPr>
        <w:spacing w:line="560" w:lineRule="exact"/>
        <w:ind w:firstLine="640" w:firstLineChars="200"/>
        <w:outlineLvl w:val="1"/>
        <w:rPr>
          <w:rFonts w:ascii="Times New Roman" w:hAnsi="Times New Roman" w:eastAsia="楷体_GB2312" w:cs="Times New Roman"/>
          <w:bCs/>
          <w:sz w:val="32"/>
          <w:szCs w:val="32"/>
        </w:rPr>
      </w:pPr>
      <w:bookmarkStart w:id="11" w:name="heading_11"/>
      <w:r>
        <w:rPr>
          <w:rFonts w:ascii="Times New Roman" w:hAnsi="Times New Roman" w:eastAsia="楷体_GB2312" w:cs="Times New Roman"/>
          <w:bCs/>
          <w:sz w:val="32"/>
          <w:szCs w:val="32"/>
        </w:rPr>
        <w:t>（二）推进执法规范化建设</w:t>
      </w:r>
      <w:bookmarkEnd w:id="11"/>
    </w:p>
    <w:p w14:paraId="756FCB7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贯彻《行政执法监督条例》为契机，健全执法全流程管理制度，细化关键环节操作标准。巩固涉企行政执法专项行动成效，持续筑牢严格规范公正文明执法防线。发挥行政复议个案纠错作用，以复议监督倒逼依法行政</w:t>
      </w:r>
      <w:bookmarkStart w:id="12" w:name="OLE_LINK9"/>
      <w:bookmarkStart w:id="13" w:name="OLE_LINK8"/>
      <w:r>
        <w:rPr>
          <w:rFonts w:ascii="Times New Roman" w:hAnsi="Times New Roman" w:eastAsia="仿宋_GB2312" w:cs="Times New Roman"/>
          <w:sz w:val="32"/>
          <w:szCs w:val="32"/>
        </w:rPr>
        <w:t>，持续促进行政争议实质性化解</w:t>
      </w:r>
      <w:bookmarkEnd w:id="12"/>
      <w:bookmarkEnd w:id="13"/>
      <w:r>
        <w:rPr>
          <w:rFonts w:ascii="Times New Roman" w:hAnsi="Times New Roman" w:eastAsia="仿宋_GB2312" w:cs="Times New Roman"/>
          <w:sz w:val="32"/>
          <w:szCs w:val="32"/>
        </w:rPr>
        <w:t>。</w:t>
      </w:r>
    </w:p>
    <w:p w14:paraId="611FF93B">
      <w:pPr>
        <w:spacing w:line="560" w:lineRule="exact"/>
        <w:ind w:firstLine="640" w:firstLineChars="200"/>
        <w:outlineLvl w:val="1"/>
        <w:rPr>
          <w:rFonts w:ascii="Times New Roman" w:hAnsi="Times New Roman" w:eastAsia="楷体_GB2312" w:cs="Times New Roman"/>
          <w:bCs/>
          <w:sz w:val="32"/>
          <w:szCs w:val="32"/>
        </w:rPr>
      </w:pPr>
      <w:bookmarkStart w:id="14" w:name="heading_12"/>
      <w:r>
        <w:rPr>
          <w:rFonts w:ascii="Times New Roman" w:hAnsi="Times New Roman" w:eastAsia="楷体_GB2312" w:cs="Times New Roman"/>
          <w:bCs/>
          <w:sz w:val="32"/>
          <w:szCs w:val="32"/>
        </w:rPr>
        <w:t>（三）优化法治化营商环境</w:t>
      </w:r>
      <w:bookmarkEnd w:id="14"/>
    </w:p>
    <w:p w14:paraId="4699098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持续推进“高效办成一件事”改革，新增区级集成服务场景，优化“政企同行·有需必应”机制。完善社会信用体系，严厉打击侵害知识产权等违法行为，深化“律企同行 法护营商”等惠企活动，营造稳定、公平、透明、可预期的法治化营商环境。</w:t>
      </w:r>
    </w:p>
    <w:p w14:paraId="7420EC53">
      <w:pPr>
        <w:spacing w:line="560" w:lineRule="exact"/>
        <w:ind w:firstLine="640" w:firstLineChars="200"/>
        <w:outlineLvl w:val="1"/>
        <w:rPr>
          <w:rFonts w:ascii="Times New Roman" w:hAnsi="Times New Roman" w:eastAsia="楷体_GB2312" w:cs="Times New Roman"/>
          <w:bCs/>
          <w:sz w:val="32"/>
          <w:szCs w:val="32"/>
        </w:rPr>
      </w:pPr>
      <w:bookmarkStart w:id="15" w:name="heading_13"/>
      <w:r>
        <w:rPr>
          <w:rFonts w:ascii="Times New Roman" w:hAnsi="Times New Roman" w:eastAsia="楷体_GB2312" w:cs="Times New Roman"/>
          <w:bCs/>
          <w:sz w:val="32"/>
          <w:szCs w:val="32"/>
        </w:rPr>
        <w:t>（四）加强执法队伍专业化建设</w:t>
      </w:r>
      <w:bookmarkEnd w:id="15"/>
    </w:p>
    <w:p w14:paraId="774B867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构建分层分类培训体系，聚焦新兴领域开展专项培训。通过业务研讨、案例复盘、实战演练等形式，持续提升一线执法人员的协调处置、应急应对和综合执法能力。严格落实执法人员资格管理，推动执法经验共享、技能互鉴，提升应对多元化执法场景的实战能力。</w:t>
      </w:r>
    </w:p>
    <w:p w14:paraId="3B867A79">
      <w:pPr>
        <w:spacing w:line="560" w:lineRule="exact"/>
        <w:ind w:firstLine="640" w:firstLineChars="200"/>
        <w:outlineLvl w:val="1"/>
        <w:rPr>
          <w:rFonts w:ascii="Times New Roman" w:hAnsi="Times New Roman" w:eastAsia="楷体_GB2312" w:cs="Times New Roman"/>
          <w:bCs/>
          <w:sz w:val="32"/>
          <w:szCs w:val="32"/>
        </w:rPr>
      </w:pPr>
      <w:bookmarkStart w:id="16" w:name="heading_14"/>
      <w:r>
        <w:rPr>
          <w:rFonts w:ascii="Times New Roman" w:hAnsi="Times New Roman" w:eastAsia="楷体_GB2312" w:cs="Times New Roman"/>
          <w:bCs/>
          <w:sz w:val="32"/>
          <w:szCs w:val="32"/>
        </w:rPr>
        <w:t>（五）提升基层法治治理效能</w:t>
      </w:r>
      <w:bookmarkEnd w:id="16"/>
    </w:p>
    <w:p w14:paraId="3F33B704">
      <w:pPr>
        <w:spacing w:line="560" w:lineRule="exact"/>
        <w:ind w:firstLine="640" w:firstLineChars="200"/>
        <w:rPr>
          <w:rFonts w:ascii="Times New Roman" w:hAnsi="Times New Roman" w:cs="Times New Roman"/>
        </w:rPr>
      </w:pPr>
      <w:r>
        <w:rPr>
          <w:rFonts w:ascii="Times New Roman" w:hAnsi="Times New Roman" w:eastAsia="仿宋_GB2312" w:cs="Times New Roman"/>
          <w:sz w:val="32"/>
          <w:szCs w:val="32"/>
        </w:rPr>
        <w:t>启动“九五”普法工作，开展“法律明白人”、网格员法治素养提升活动，打造“法治+”系列普法品牌和津味法治文化阵地。整合人民调解、行政调解、司法调解资源，构建“一站式”调解平台。深化公共法律服务平台融合</w:t>
      </w:r>
      <w:bookmarkStart w:id="17" w:name="_GoBack"/>
      <w:bookmarkEnd w:id="17"/>
      <w:r>
        <w:rPr>
          <w:rFonts w:ascii="Times New Roman" w:hAnsi="Times New Roman" w:eastAsia="仿宋_GB2312" w:cs="Times New Roman"/>
          <w:sz w:val="32"/>
          <w:szCs w:val="32"/>
        </w:rPr>
        <w:t>，完善社区矫正和安置帮教机制，提升社会治理现代化水平。</w:t>
      </w:r>
    </w:p>
    <w:sectPr>
      <w:footerReference r:id="rId3" w:type="default"/>
      <w:pgSz w:w="11905" w:h="16840"/>
      <w:pgMar w:top="2041" w:right="1559" w:bottom="1701" w:left="1559"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4DE50">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6DD68C7">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6DD68C7">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BFA"/>
    <w:rsid w:val="0024068F"/>
    <w:rsid w:val="00653030"/>
    <w:rsid w:val="00847C87"/>
    <w:rsid w:val="00A97BFA"/>
    <w:rsid w:val="00C91501"/>
    <w:rsid w:val="00FD7D12"/>
    <w:rsid w:val="01453A14"/>
    <w:rsid w:val="01633E9B"/>
    <w:rsid w:val="02B80216"/>
    <w:rsid w:val="02F92104"/>
    <w:rsid w:val="050F12C9"/>
    <w:rsid w:val="05E35F13"/>
    <w:rsid w:val="068F3A49"/>
    <w:rsid w:val="069468A4"/>
    <w:rsid w:val="07375BAD"/>
    <w:rsid w:val="077D37CB"/>
    <w:rsid w:val="07AC3D93"/>
    <w:rsid w:val="08892439"/>
    <w:rsid w:val="08892CC7"/>
    <w:rsid w:val="09670B68"/>
    <w:rsid w:val="0A92134D"/>
    <w:rsid w:val="0BC820E2"/>
    <w:rsid w:val="0C755BD3"/>
    <w:rsid w:val="0DB735A4"/>
    <w:rsid w:val="0E0662D9"/>
    <w:rsid w:val="0EAC0AC2"/>
    <w:rsid w:val="0EF6634E"/>
    <w:rsid w:val="0EFB3964"/>
    <w:rsid w:val="0FFD3818"/>
    <w:rsid w:val="100D7DF3"/>
    <w:rsid w:val="105552F6"/>
    <w:rsid w:val="11AC2271"/>
    <w:rsid w:val="12374CB3"/>
    <w:rsid w:val="15AD5965"/>
    <w:rsid w:val="15E92769"/>
    <w:rsid w:val="15FD7FC2"/>
    <w:rsid w:val="16FF7D6A"/>
    <w:rsid w:val="18233D4D"/>
    <w:rsid w:val="184E7EC7"/>
    <w:rsid w:val="19A30E80"/>
    <w:rsid w:val="1ADD6614"/>
    <w:rsid w:val="1B0E4A1F"/>
    <w:rsid w:val="1B102545"/>
    <w:rsid w:val="1C0E42E1"/>
    <w:rsid w:val="1D177AE6"/>
    <w:rsid w:val="1DFC3255"/>
    <w:rsid w:val="1DFE0D7B"/>
    <w:rsid w:val="1E7B23CC"/>
    <w:rsid w:val="1F811C64"/>
    <w:rsid w:val="216435EB"/>
    <w:rsid w:val="228E2125"/>
    <w:rsid w:val="23D5257E"/>
    <w:rsid w:val="259B0DA4"/>
    <w:rsid w:val="26325A66"/>
    <w:rsid w:val="26437C73"/>
    <w:rsid w:val="27A75FE0"/>
    <w:rsid w:val="28772780"/>
    <w:rsid w:val="2974118A"/>
    <w:rsid w:val="297B7724"/>
    <w:rsid w:val="2A473AAA"/>
    <w:rsid w:val="2B391645"/>
    <w:rsid w:val="2B702217"/>
    <w:rsid w:val="2DC518B5"/>
    <w:rsid w:val="2E7B1F74"/>
    <w:rsid w:val="2EC706DF"/>
    <w:rsid w:val="2ED00479"/>
    <w:rsid w:val="306727B0"/>
    <w:rsid w:val="317909ED"/>
    <w:rsid w:val="3192385D"/>
    <w:rsid w:val="3212741C"/>
    <w:rsid w:val="32335040"/>
    <w:rsid w:val="332B3F69"/>
    <w:rsid w:val="33ED7470"/>
    <w:rsid w:val="34E73EBF"/>
    <w:rsid w:val="355B542F"/>
    <w:rsid w:val="357C14C5"/>
    <w:rsid w:val="35B20C7D"/>
    <w:rsid w:val="35C767CC"/>
    <w:rsid w:val="38390ED6"/>
    <w:rsid w:val="3AA12D62"/>
    <w:rsid w:val="3B485EF5"/>
    <w:rsid w:val="3DD239F2"/>
    <w:rsid w:val="409018AF"/>
    <w:rsid w:val="411C3143"/>
    <w:rsid w:val="414C7ECC"/>
    <w:rsid w:val="46A165C4"/>
    <w:rsid w:val="47FF6F74"/>
    <w:rsid w:val="488E2B78"/>
    <w:rsid w:val="4950607F"/>
    <w:rsid w:val="4A001853"/>
    <w:rsid w:val="4A274AE1"/>
    <w:rsid w:val="4B2B2900"/>
    <w:rsid w:val="4DDE1EAC"/>
    <w:rsid w:val="4F7A20A8"/>
    <w:rsid w:val="502838B2"/>
    <w:rsid w:val="51391C64"/>
    <w:rsid w:val="514A6C5C"/>
    <w:rsid w:val="516923D4"/>
    <w:rsid w:val="55006BAB"/>
    <w:rsid w:val="55782BE6"/>
    <w:rsid w:val="55DA73FC"/>
    <w:rsid w:val="55F16C3E"/>
    <w:rsid w:val="5886561A"/>
    <w:rsid w:val="59352B9C"/>
    <w:rsid w:val="5AE26D53"/>
    <w:rsid w:val="5B922527"/>
    <w:rsid w:val="60DD4245"/>
    <w:rsid w:val="60F27DD2"/>
    <w:rsid w:val="613F280A"/>
    <w:rsid w:val="615F71ED"/>
    <w:rsid w:val="63E47698"/>
    <w:rsid w:val="657F3B1C"/>
    <w:rsid w:val="66B6356E"/>
    <w:rsid w:val="68041917"/>
    <w:rsid w:val="6A6F7F91"/>
    <w:rsid w:val="6DDEF1F4"/>
    <w:rsid w:val="6E3631E6"/>
    <w:rsid w:val="6E8E4DD0"/>
    <w:rsid w:val="6FCC795E"/>
    <w:rsid w:val="6FFB6495"/>
    <w:rsid w:val="70716758"/>
    <w:rsid w:val="70B2124A"/>
    <w:rsid w:val="719E357C"/>
    <w:rsid w:val="72534367"/>
    <w:rsid w:val="72EE5E3E"/>
    <w:rsid w:val="75B50E3B"/>
    <w:rsid w:val="76A809F9"/>
    <w:rsid w:val="791365FE"/>
    <w:rsid w:val="79D51B05"/>
    <w:rsid w:val="7ACD6C80"/>
    <w:rsid w:val="7BB26419"/>
    <w:rsid w:val="7D344D95"/>
    <w:rsid w:val="7D573783"/>
    <w:rsid w:val="7D9A72EE"/>
    <w:rsid w:val="7E040C0B"/>
    <w:rsid w:val="7E260B81"/>
    <w:rsid w:val="7EF70FC6"/>
    <w:rsid w:val="9EFD0996"/>
    <w:rsid w:val="EF7F1BF5"/>
    <w:rsid w:val="F7BB6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Normal Indent"/>
    <w:basedOn w:val="1"/>
    <w:qFormat/>
    <w:uiPriority w:val="0"/>
    <w:pPr>
      <w:ind w:firstLine="420" w:firstLineChars="200"/>
    </w:pPr>
    <w:rPr>
      <w:rFonts w:eastAsia="仿宋"/>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styleId="10">
    <w:name w:val="Emphasis"/>
    <w:basedOn w:val="8"/>
    <w:qFormat/>
    <w:uiPriority w:val="0"/>
    <w:rPr>
      <w:i/>
    </w:rPr>
  </w:style>
  <w:style w:type="character" w:customStyle="1" w:styleId="11">
    <w:name w:val="页眉 Char"/>
    <w:basedOn w:val="8"/>
    <w:link w:val="6"/>
    <w:qFormat/>
    <w:uiPriority w:val="0"/>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3765</Words>
  <Characters>3904</Characters>
  <Lines>28</Lines>
  <Paragraphs>8</Paragraphs>
  <TotalTime>32</TotalTime>
  <ScaleCrop>false</ScaleCrop>
  <LinksUpToDate>false</LinksUpToDate>
  <CharactersWithSpaces>3910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2026-02-12T05:18:00Z</dcterms:created>
  <dc:creator>Apache POI</dc:creator>
  <cp:lastModifiedBy>Feel</cp:lastModifiedBy>
  <cp:lastPrinted>2026-02-12T04:49:00Z</cp:lastPrinted>
  <dcterms:modified xsi:type="dcterms:W3CDTF">2026-03-23T08:02:10Z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1BEFBED888B7497FADE32C8688113A06_13</vt:lpwstr>
  </property>
  <property fmtid="{D5CDD505-2E9C-101B-9397-08002B2CF9AE}" pid="4" name="KSOTemplateDocerSaveRecord">
    <vt:lpwstr>eyJoZGlkIjoiMDNmMDk2MGJhOTk3ZTU5Zjg1YjBhODgwODBlYWUwOGEiLCJ1c2VySWQiOiI1NTk1OTY2MzcifQ==</vt:lpwstr>
  </property>
</Properties>
</file>