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48B62B">
      <w:pPr>
        <w:keepNext w:val="0"/>
        <w:keepLines w:val="0"/>
        <w:pageBreakBefore w:val="0"/>
        <w:kinsoku/>
        <w:wordWrap/>
        <w:overflowPunct/>
        <w:topLinePunct w:val="0"/>
        <w:autoSpaceDE/>
        <w:autoSpaceDN/>
        <w:bidi w:val="0"/>
        <w:adjustRightInd/>
        <w:snapToGrid/>
        <w:spacing w:beforeAutospacing="0" w:afterAutospacing="0" w:line="560" w:lineRule="exact"/>
        <w:jc w:val="center"/>
        <w:textAlignment w:val="auto"/>
        <w:rPr>
          <w:rFonts w:hint="default" w:ascii="Times New Roman" w:hAnsi="Times New Roman" w:eastAsia="方正小标宋简体" w:cs="Times New Roman"/>
          <w:sz w:val="44"/>
          <w:szCs w:val="44"/>
        </w:rPr>
      </w:pPr>
      <w:bookmarkStart w:id="0" w:name="_GoBack"/>
      <w:bookmarkEnd w:id="0"/>
      <w:r>
        <w:rPr>
          <w:rFonts w:hint="default" w:ascii="Times New Roman" w:hAnsi="Times New Roman" w:eastAsia="方正小标宋简体" w:cs="Times New Roman"/>
          <w:sz w:val="44"/>
          <w:szCs w:val="44"/>
        </w:rPr>
        <w:t>国家税务总局天津市东丽区税务局</w:t>
      </w:r>
    </w:p>
    <w:p w14:paraId="71E4BF3F">
      <w:pPr>
        <w:keepNext w:val="0"/>
        <w:keepLines w:val="0"/>
        <w:pageBreakBefore w:val="0"/>
        <w:kinsoku/>
        <w:wordWrap/>
        <w:overflowPunct/>
        <w:topLinePunct w:val="0"/>
        <w:autoSpaceDE/>
        <w:autoSpaceDN/>
        <w:bidi w:val="0"/>
        <w:adjustRightInd/>
        <w:snapToGrid/>
        <w:spacing w:beforeAutospacing="0" w:afterAutospacing="0" w:line="560" w:lineRule="exac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lang w:eastAsia="zh-CN"/>
        </w:rPr>
        <w:t>2025</w:t>
      </w:r>
      <w:r>
        <w:rPr>
          <w:rFonts w:hint="default" w:ascii="Times New Roman" w:hAnsi="Times New Roman" w:eastAsia="方正小标宋简体" w:cs="Times New Roman"/>
          <w:sz w:val="44"/>
          <w:szCs w:val="44"/>
        </w:rPr>
        <w:t>年法治政府建设年度报告</w:t>
      </w:r>
    </w:p>
    <w:p w14:paraId="37FC35FB">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default" w:ascii="Times New Roman" w:hAnsi="Times New Roman" w:eastAsia="仿宋_GB2312" w:cs="Times New Roman"/>
          <w:kern w:val="2"/>
          <w:sz w:val="32"/>
          <w:szCs w:val="32"/>
          <w:lang w:val="en-US" w:eastAsia="zh-CN" w:bidi="ar"/>
        </w:rPr>
      </w:pPr>
    </w:p>
    <w:p w14:paraId="0FFF114F">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560" w:lineRule="exact"/>
        <w:jc w:val="left"/>
        <w:textAlignment w:val="auto"/>
      </w:pPr>
      <w:r>
        <w:rPr>
          <w:rFonts w:hint="default" w:ascii="Times New Roman" w:hAnsi="Times New Roman" w:cs="Times New Roman"/>
          <w:sz w:val="31"/>
          <w:szCs w:val="31"/>
        </w:rPr>
        <w:t>    2025</w:t>
      </w:r>
      <w:r>
        <w:rPr>
          <w:rFonts w:ascii="仿宋_GB2312" w:hAnsi="Times New Roman" w:eastAsia="仿宋_GB2312" w:cs="仿宋_GB2312"/>
          <w:sz w:val="31"/>
          <w:szCs w:val="31"/>
        </w:rPr>
        <w:t>年，东丽区税务局</w:t>
      </w:r>
      <w:r>
        <w:rPr>
          <w:rFonts w:hint="eastAsia" w:ascii="仿宋_GB2312" w:hAnsi="Times New Roman" w:eastAsia="仿宋_GB2312" w:cs="仿宋_GB2312"/>
          <w:sz w:val="31"/>
          <w:szCs w:val="31"/>
        </w:rPr>
        <w:t>坚持以习近平法治思想为指导，深入贯彻落实习近平法治思想和《法治政府建设实施纲要（</w:t>
      </w:r>
      <w:r>
        <w:rPr>
          <w:rFonts w:hint="default" w:ascii="Times New Roman" w:hAnsi="Times New Roman" w:cs="Times New Roman"/>
          <w:sz w:val="31"/>
          <w:szCs w:val="31"/>
        </w:rPr>
        <w:t>2021-2025</w:t>
      </w:r>
      <w:r>
        <w:rPr>
          <w:rFonts w:hint="eastAsia" w:ascii="仿宋_GB2312" w:hAnsi="Times New Roman" w:eastAsia="仿宋_GB2312" w:cs="仿宋_GB2312"/>
          <w:sz w:val="31"/>
          <w:szCs w:val="31"/>
        </w:rPr>
        <w:t>年）》工作要求，紧紧围绕税收中心工作，以精确执法、精细服务、精准监管、精诚共治为抓手，全面落实行政执法职责，持续规范行政执法行为，优化税收法治营商环境，切实将依法行政要求转化为推动税收工作高质量发展的实际成效。现将情况简要报告如下：</w:t>
      </w:r>
    </w:p>
    <w:p w14:paraId="6C24B281">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textAlignment w:val="auto"/>
      </w:pPr>
      <w:r>
        <w:rPr>
          <w:rFonts w:ascii="黑体" w:hAnsi="宋体" w:eastAsia="黑体" w:cs="黑体"/>
          <w:sz w:val="31"/>
          <w:szCs w:val="31"/>
        </w:rPr>
        <w:t>一、明方向，强引领，把牢法治政府建设</w:t>
      </w:r>
      <w:r>
        <w:rPr>
          <w:rFonts w:hint="default" w:ascii="Times New Roman" w:hAnsi="Times New Roman" w:cs="Times New Roman"/>
          <w:sz w:val="31"/>
          <w:szCs w:val="31"/>
        </w:rPr>
        <w:t>“</w:t>
      </w:r>
      <w:r>
        <w:rPr>
          <w:rFonts w:hint="eastAsia" w:ascii="黑体" w:hAnsi="宋体" w:eastAsia="黑体" w:cs="黑体"/>
          <w:sz w:val="31"/>
          <w:szCs w:val="31"/>
        </w:rPr>
        <w:t>方向盘</w:t>
      </w:r>
      <w:r>
        <w:rPr>
          <w:rFonts w:hint="default" w:ascii="Times New Roman" w:hAnsi="Times New Roman" w:cs="Times New Roman"/>
          <w:sz w:val="31"/>
          <w:szCs w:val="31"/>
        </w:rPr>
        <w:t>”</w:t>
      </w:r>
    </w:p>
    <w:p w14:paraId="09D0020D">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textAlignment w:val="auto"/>
      </w:pPr>
      <w:r>
        <w:rPr>
          <w:rFonts w:ascii="楷体_GB2312" w:hAnsi="Times New Roman" w:eastAsia="楷体_GB2312" w:cs="楷体_GB2312"/>
          <w:sz w:val="31"/>
          <w:szCs w:val="31"/>
        </w:rPr>
        <w:t>（一）强化思想引领，持续夯实</w:t>
      </w:r>
      <w:r>
        <w:rPr>
          <w:rFonts w:hint="eastAsia" w:ascii="楷体_GB2312" w:hAnsi="Times New Roman" w:eastAsia="楷体_GB2312" w:cs="楷体_GB2312"/>
          <w:sz w:val="31"/>
          <w:szCs w:val="31"/>
        </w:rPr>
        <w:t>法治政府建设基础</w:t>
      </w:r>
    </w:p>
    <w:p w14:paraId="61C17CC2">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textAlignment w:val="auto"/>
      </w:pPr>
      <w:r>
        <w:rPr>
          <w:rFonts w:hint="eastAsia" w:ascii="仿宋_GB2312" w:hAnsi="Times New Roman" w:eastAsia="仿宋_GB2312" w:cs="仿宋_GB2312"/>
          <w:sz w:val="31"/>
          <w:szCs w:val="31"/>
        </w:rPr>
        <w:t>持续深入学习习近平法治思想，坚持以习近平法治思想为引领，全面提升干部法治思维，切实将习近平法治思想作为推进法治税务建设的根本遵循和行动指南。扎实开展党委理论学习中心组专题学法、习近平法治思想专题学习和全员学法等系列活动，营造区局领导带头学、全体干部主动学的良好学法用法氛围，有效提升全体干部对习近平法治思想核心要义和精神实质的理解把握。</w:t>
      </w:r>
    </w:p>
    <w:p w14:paraId="6C52FD62">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textAlignment w:val="auto"/>
      </w:pPr>
      <w:r>
        <w:rPr>
          <w:rFonts w:hint="eastAsia" w:ascii="楷体_GB2312" w:hAnsi="Times New Roman" w:eastAsia="楷体_GB2312" w:cs="楷体_GB2312"/>
          <w:sz w:val="31"/>
          <w:szCs w:val="31"/>
        </w:rPr>
        <w:t>（二）压实主体责任，严格履行第一责任人职责</w:t>
      </w:r>
    </w:p>
    <w:p w14:paraId="0928DB6C">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textAlignment w:val="auto"/>
      </w:pPr>
      <w:r>
        <w:rPr>
          <w:rFonts w:hint="eastAsia" w:ascii="仿宋_GB2312" w:hAnsi="Times New Roman" w:eastAsia="仿宋_GB2312" w:cs="仿宋_GB2312"/>
          <w:sz w:val="31"/>
          <w:szCs w:val="31"/>
        </w:rPr>
        <w:t>严格落实党政主要负责人履行法治建设第一责任人职责要求，将法治建设作为首要任务。为做好法治政府建设相关工作，区局主要负责人坚持重要工作亲自部署、重大问题亲自过问、重点环节亲自协调、重要任务亲自督办，对区局法治工作提出具体要求，持续关注重大争议问题、协调重点执法环节、督促落实重要法治任务，确保法治建设与税务工作同部署、同推进、同督促、同考核，切实压紧压实各部门责任。</w:t>
      </w:r>
    </w:p>
    <w:p w14:paraId="4AB33764">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textAlignment w:val="auto"/>
      </w:pPr>
      <w:r>
        <w:rPr>
          <w:rFonts w:hint="eastAsia" w:ascii="黑体" w:hAnsi="宋体" w:eastAsia="黑体" w:cs="黑体"/>
          <w:sz w:val="31"/>
          <w:szCs w:val="31"/>
        </w:rPr>
        <w:t>二、严法治、促落实，打好税收执法</w:t>
      </w:r>
      <w:r>
        <w:rPr>
          <w:rFonts w:hint="default" w:ascii="Times New Roman" w:hAnsi="Times New Roman" w:cs="Times New Roman"/>
          <w:sz w:val="31"/>
          <w:szCs w:val="31"/>
        </w:rPr>
        <w:t>“</w:t>
      </w:r>
      <w:r>
        <w:rPr>
          <w:rFonts w:hint="eastAsia" w:ascii="黑体" w:hAnsi="宋体" w:eastAsia="黑体" w:cs="黑体"/>
          <w:sz w:val="31"/>
          <w:szCs w:val="31"/>
        </w:rPr>
        <w:t>组合拳</w:t>
      </w:r>
      <w:r>
        <w:rPr>
          <w:rFonts w:hint="default" w:ascii="Times New Roman" w:hAnsi="Times New Roman" w:cs="Times New Roman"/>
          <w:sz w:val="31"/>
          <w:szCs w:val="31"/>
        </w:rPr>
        <w:t>”</w:t>
      </w:r>
    </w:p>
    <w:p w14:paraId="293ACE63">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textAlignment w:val="auto"/>
      </w:pPr>
      <w:r>
        <w:rPr>
          <w:rFonts w:hint="eastAsia" w:ascii="楷体_GB2312" w:hAnsi="Times New Roman" w:eastAsia="楷体_GB2312" w:cs="楷体_GB2312"/>
          <w:sz w:val="31"/>
          <w:szCs w:val="31"/>
        </w:rPr>
        <w:t>（一）高位谋划布局，深入推进税务京津同城化</w:t>
      </w:r>
    </w:p>
    <w:p w14:paraId="63DDCFF9">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textAlignment w:val="auto"/>
      </w:pPr>
      <w:r>
        <w:rPr>
          <w:rFonts w:hint="eastAsia" w:ascii="仿宋_GB2312" w:hAnsi="Times New Roman" w:eastAsia="仿宋_GB2312" w:cs="仿宋_GB2312"/>
          <w:sz w:val="31"/>
          <w:szCs w:val="31"/>
        </w:rPr>
        <w:t>高标准推动税务京津同城化工作新作为</w:t>
      </w:r>
      <w:r>
        <w:rPr>
          <w:rFonts w:hint="default" w:ascii="Times New Roman" w:hAnsi="Times New Roman" w:cs="Times New Roman"/>
          <w:sz w:val="31"/>
          <w:szCs w:val="31"/>
        </w:rPr>
        <w:t>,</w:t>
      </w:r>
      <w:r>
        <w:rPr>
          <w:rFonts w:hint="eastAsia" w:ascii="仿宋_GB2312" w:hAnsi="Times New Roman" w:eastAsia="仿宋_GB2312" w:cs="仿宋_GB2312"/>
          <w:sz w:val="31"/>
          <w:szCs w:val="31"/>
        </w:rPr>
        <w:t>服务专班赴</w:t>
      </w:r>
      <w:r>
        <w:rPr>
          <w:rFonts w:hint="default" w:ascii="Times New Roman" w:hAnsi="Times New Roman" w:cs="Times New Roman"/>
          <w:sz w:val="31"/>
          <w:szCs w:val="31"/>
        </w:rPr>
        <w:t>“</w:t>
      </w:r>
      <w:r>
        <w:rPr>
          <w:rFonts w:hint="eastAsia" w:ascii="仿宋_GB2312" w:hAnsi="Times New Roman" w:eastAsia="仿宋_GB2312" w:cs="仿宋_GB2312"/>
          <w:sz w:val="31"/>
          <w:szCs w:val="31"/>
        </w:rPr>
        <w:t>三区一园</w:t>
      </w:r>
      <w:r>
        <w:rPr>
          <w:rFonts w:hint="default" w:ascii="Times New Roman" w:hAnsi="Times New Roman" w:cs="Times New Roman"/>
          <w:sz w:val="31"/>
          <w:szCs w:val="31"/>
        </w:rPr>
        <w:t>”</w:t>
      </w:r>
      <w:r>
        <w:rPr>
          <w:rFonts w:hint="eastAsia" w:ascii="仿宋_GB2312" w:hAnsi="Times New Roman" w:eastAsia="仿宋_GB2312" w:cs="仿宋_GB2312"/>
          <w:sz w:val="31"/>
          <w:szCs w:val="31"/>
        </w:rPr>
        <w:t>举办政策讲解专题会，走访调研跨区域经营企业，精准化解企业难点堵点。优化</w:t>
      </w:r>
      <w:r>
        <w:rPr>
          <w:rFonts w:hint="default" w:ascii="Times New Roman" w:hAnsi="Times New Roman" w:cs="Times New Roman"/>
          <w:sz w:val="31"/>
          <w:szCs w:val="31"/>
        </w:rPr>
        <w:t>“</w:t>
      </w:r>
      <w:r>
        <w:rPr>
          <w:rFonts w:hint="eastAsia" w:ascii="仿宋_GB2312" w:hAnsi="Times New Roman" w:eastAsia="仿宋_GB2312" w:cs="仿宋_GB2312"/>
          <w:sz w:val="31"/>
          <w:szCs w:val="31"/>
        </w:rPr>
        <w:t>政策找人</w:t>
      </w:r>
      <w:r>
        <w:rPr>
          <w:rFonts w:hint="default" w:ascii="Times New Roman" w:hAnsi="Times New Roman" w:cs="Times New Roman"/>
          <w:sz w:val="31"/>
          <w:szCs w:val="31"/>
        </w:rPr>
        <w:t>”</w:t>
      </w:r>
      <w:r>
        <w:rPr>
          <w:rFonts w:hint="eastAsia" w:ascii="仿宋_GB2312" w:hAnsi="Times New Roman" w:eastAsia="仿宋_GB2312" w:cs="仿宋_GB2312"/>
          <w:sz w:val="31"/>
          <w:szCs w:val="31"/>
        </w:rPr>
        <w:t>精准推送机制，以</w:t>
      </w:r>
      <w:r>
        <w:rPr>
          <w:rFonts w:hint="default" w:ascii="Times New Roman" w:hAnsi="Times New Roman" w:cs="Times New Roman"/>
          <w:sz w:val="31"/>
          <w:szCs w:val="31"/>
        </w:rPr>
        <w:t>“</w:t>
      </w:r>
      <w:r>
        <w:rPr>
          <w:rFonts w:hint="eastAsia" w:ascii="仿宋_GB2312" w:hAnsi="Times New Roman" w:eastAsia="仿宋_GB2312" w:cs="仿宋_GB2312"/>
          <w:sz w:val="31"/>
          <w:szCs w:val="31"/>
        </w:rPr>
        <w:t>线上</w:t>
      </w:r>
      <w:r>
        <w:rPr>
          <w:rFonts w:hint="default" w:ascii="Times New Roman" w:hAnsi="Times New Roman" w:cs="Times New Roman"/>
          <w:sz w:val="31"/>
          <w:szCs w:val="31"/>
        </w:rPr>
        <w:t>+</w:t>
      </w:r>
      <w:r>
        <w:rPr>
          <w:rFonts w:hint="eastAsia" w:ascii="仿宋_GB2312" w:hAnsi="Times New Roman" w:eastAsia="仿宋_GB2312" w:cs="仿宋_GB2312"/>
          <w:sz w:val="31"/>
          <w:szCs w:val="31"/>
        </w:rPr>
        <w:t>线下</w:t>
      </w:r>
      <w:r>
        <w:rPr>
          <w:rFonts w:hint="default" w:ascii="Times New Roman" w:hAnsi="Times New Roman" w:cs="Times New Roman"/>
          <w:sz w:val="31"/>
          <w:szCs w:val="31"/>
        </w:rPr>
        <w:t>”</w:t>
      </w:r>
      <w:r>
        <w:rPr>
          <w:rFonts w:hint="eastAsia" w:ascii="仿宋_GB2312" w:hAnsi="Times New Roman" w:eastAsia="仿宋_GB2312" w:cs="仿宋_GB2312"/>
          <w:sz w:val="31"/>
          <w:szCs w:val="31"/>
        </w:rPr>
        <w:t>融合体系开展政策解读、操作解析、疑难解答，分类梳理税费优惠政策汇编，确保政策直达快享。联合区住房公积金管理中心、建设银行东丽分行，开展</w:t>
      </w:r>
      <w:r>
        <w:rPr>
          <w:rFonts w:hint="default" w:ascii="Times New Roman" w:hAnsi="Times New Roman" w:cs="Times New Roman"/>
          <w:sz w:val="31"/>
          <w:szCs w:val="31"/>
        </w:rPr>
        <w:t>“</w:t>
      </w:r>
      <w:r>
        <w:rPr>
          <w:rFonts w:hint="eastAsia" w:ascii="仿宋_GB2312" w:hAnsi="Times New Roman" w:eastAsia="仿宋_GB2312" w:cs="仿宋_GB2312"/>
          <w:sz w:val="31"/>
          <w:szCs w:val="31"/>
        </w:rPr>
        <w:t>跨区迁移预先服务</w:t>
      </w:r>
      <w:r>
        <w:rPr>
          <w:rFonts w:hint="default" w:ascii="Times New Roman" w:hAnsi="Times New Roman" w:cs="Times New Roman"/>
          <w:sz w:val="31"/>
          <w:szCs w:val="31"/>
        </w:rPr>
        <w:t>”</w:t>
      </w:r>
      <w:r>
        <w:rPr>
          <w:rFonts w:hint="eastAsia" w:ascii="仿宋_GB2312" w:hAnsi="Times New Roman" w:eastAsia="仿宋_GB2312" w:cs="仿宋_GB2312"/>
          <w:sz w:val="31"/>
          <w:szCs w:val="31"/>
        </w:rPr>
        <w:t>专项活动，辅导企业办理跨区迁移涉税事项，保障企业权益，实现跨区</w:t>
      </w:r>
      <w:r>
        <w:rPr>
          <w:rFonts w:hint="default" w:ascii="Times New Roman" w:hAnsi="Times New Roman" w:cs="Times New Roman"/>
          <w:sz w:val="31"/>
          <w:szCs w:val="31"/>
        </w:rPr>
        <w:t>“</w:t>
      </w:r>
      <w:r>
        <w:rPr>
          <w:rFonts w:hint="eastAsia" w:ascii="仿宋_GB2312" w:hAnsi="Times New Roman" w:eastAsia="仿宋_GB2312" w:cs="仿宋_GB2312"/>
          <w:sz w:val="31"/>
          <w:szCs w:val="31"/>
        </w:rPr>
        <w:t>无感迁移</w:t>
      </w:r>
      <w:r>
        <w:rPr>
          <w:rFonts w:hint="default" w:ascii="Times New Roman" w:hAnsi="Times New Roman" w:cs="Times New Roman"/>
          <w:sz w:val="31"/>
          <w:szCs w:val="31"/>
        </w:rPr>
        <w:t>”</w:t>
      </w:r>
      <w:r>
        <w:rPr>
          <w:rFonts w:hint="eastAsia" w:ascii="仿宋_GB2312" w:hAnsi="Times New Roman" w:eastAsia="仿宋_GB2312" w:cs="仿宋_GB2312"/>
          <w:sz w:val="31"/>
          <w:szCs w:val="31"/>
        </w:rPr>
        <w:t>。</w:t>
      </w:r>
    </w:p>
    <w:p w14:paraId="6DFADA32">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textAlignment w:val="auto"/>
      </w:pPr>
      <w:r>
        <w:rPr>
          <w:rFonts w:hint="eastAsia" w:ascii="楷体_GB2312" w:hAnsi="Times New Roman" w:eastAsia="楷体_GB2312" w:cs="楷体_GB2312"/>
          <w:sz w:val="31"/>
          <w:szCs w:val="31"/>
        </w:rPr>
        <w:t>（二）明确权责边界，划定权力运行基准线</w:t>
      </w:r>
    </w:p>
    <w:p w14:paraId="31DD8A03">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textAlignment w:val="auto"/>
      </w:pPr>
      <w:r>
        <w:rPr>
          <w:rFonts w:hint="eastAsia" w:ascii="仿宋_GB2312" w:hAnsi="Times New Roman" w:eastAsia="仿宋_GB2312" w:cs="仿宋_GB2312"/>
          <w:sz w:val="31"/>
          <w:szCs w:val="31"/>
        </w:rPr>
        <w:t>根据机构职能法律法规立改废释和机构职能调整等情况，动态更新权力和责任清单，逐项明确税务机关的执法权力、对应责任、法律依据和运行流程，以直观的方式划清权力边界、压实执法责任，以税务执法</w:t>
      </w:r>
      <w:r>
        <w:rPr>
          <w:rFonts w:hint="default" w:ascii="Times New Roman" w:hAnsi="Times New Roman" w:cs="Times New Roman"/>
          <w:sz w:val="31"/>
          <w:szCs w:val="31"/>
        </w:rPr>
        <w:t>“</w:t>
      </w:r>
      <w:r>
        <w:rPr>
          <w:rFonts w:hint="eastAsia" w:ascii="仿宋_GB2312" w:hAnsi="Times New Roman" w:eastAsia="仿宋_GB2312" w:cs="仿宋_GB2312"/>
          <w:sz w:val="31"/>
          <w:szCs w:val="31"/>
        </w:rPr>
        <w:t>一单清</w:t>
      </w:r>
      <w:r>
        <w:rPr>
          <w:rFonts w:hint="default" w:ascii="Times New Roman" w:hAnsi="Times New Roman" w:cs="Times New Roman"/>
          <w:sz w:val="31"/>
          <w:szCs w:val="31"/>
        </w:rPr>
        <w:t>”</w:t>
      </w:r>
      <w:r>
        <w:rPr>
          <w:rFonts w:hint="eastAsia" w:ascii="仿宋_GB2312" w:hAnsi="Times New Roman" w:eastAsia="仿宋_GB2312" w:cs="仿宋_GB2312"/>
          <w:sz w:val="31"/>
          <w:szCs w:val="31"/>
        </w:rPr>
        <w:t>划好权责</w:t>
      </w:r>
      <w:r>
        <w:rPr>
          <w:rFonts w:hint="default" w:ascii="Times New Roman" w:hAnsi="Times New Roman" w:cs="Times New Roman"/>
          <w:sz w:val="31"/>
          <w:szCs w:val="31"/>
        </w:rPr>
        <w:t>“</w:t>
      </w:r>
      <w:r>
        <w:rPr>
          <w:rFonts w:hint="eastAsia" w:ascii="仿宋_GB2312" w:hAnsi="Times New Roman" w:eastAsia="仿宋_GB2312" w:cs="仿宋_GB2312"/>
          <w:sz w:val="31"/>
          <w:szCs w:val="31"/>
        </w:rPr>
        <w:t>导航图</w:t>
      </w:r>
      <w:r>
        <w:rPr>
          <w:rFonts w:hint="default" w:ascii="Times New Roman" w:hAnsi="Times New Roman" w:cs="Times New Roman"/>
          <w:sz w:val="31"/>
          <w:szCs w:val="31"/>
        </w:rPr>
        <w:t>”</w:t>
      </w:r>
      <w:r>
        <w:rPr>
          <w:rFonts w:hint="eastAsia" w:ascii="仿宋_GB2312" w:hAnsi="Times New Roman" w:eastAsia="仿宋_GB2312" w:cs="仿宋_GB2312"/>
          <w:sz w:val="31"/>
          <w:szCs w:val="31"/>
        </w:rPr>
        <w:t>，始终坚持依法依规征收税费，坚决不收</w:t>
      </w:r>
      <w:r>
        <w:rPr>
          <w:rFonts w:hint="default" w:ascii="Times New Roman" w:hAnsi="Times New Roman" w:cs="Times New Roman"/>
          <w:sz w:val="31"/>
          <w:szCs w:val="31"/>
        </w:rPr>
        <w:t>“</w:t>
      </w:r>
      <w:r>
        <w:rPr>
          <w:rFonts w:hint="eastAsia" w:ascii="仿宋_GB2312" w:hAnsi="Times New Roman" w:eastAsia="仿宋_GB2312" w:cs="仿宋_GB2312"/>
          <w:sz w:val="31"/>
          <w:szCs w:val="31"/>
        </w:rPr>
        <w:t>过头税费</w:t>
      </w:r>
      <w:r>
        <w:rPr>
          <w:rFonts w:hint="default" w:ascii="Times New Roman" w:hAnsi="Times New Roman" w:cs="Times New Roman"/>
          <w:sz w:val="31"/>
          <w:szCs w:val="31"/>
        </w:rPr>
        <w:t>”</w:t>
      </w:r>
      <w:r>
        <w:rPr>
          <w:rFonts w:hint="eastAsia" w:ascii="仿宋_GB2312" w:hAnsi="Times New Roman" w:eastAsia="仿宋_GB2312" w:cs="仿宋_GB2312"/>
          <w:sz w:val="31"/>
          <w:szCs w:val="31"/>
        </w:rPr>
        <w:t>，强化权力制约监督机制，持续提升履职用权的标准化、规范化水平。</w:t>
      </w:r>
    </w:p>
    <w:p w14:paraId="7531B0E9">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textAlignment w:val="auto"/>
      </w:pPr>
      <w:r>
        <w:rPr>
          <w:rFonts w:hint="eastAsia" w:ascii="楷体_GB2312" w:eastAsia="楷体_GB2312" w:cs="楷体_GB2312"/>
          <w:sz w:val="31"/>
          <w:szCs w:val="31"/>
        </w:rPr>
        <w:t>（三）</w:t>
      </w:r>
      <w:r>
        <w:rPr>
          <w:rFonts w:hint="eastAsia" w:ascii="楷体_GB2312" w:hAnsi="Times New Roman" w:eastAsia="楷体_GB2312" w:cs="楷体_GB2312"/>
          <w:sz w:val="31"/>
          <w:szCs w:val="31"/>
        </w:rPr>
        <w:t>严格规范执法，提升依法治税水平</w:t>
      </w:r>
    </w:p>
    <w:p w14:paraId="25354EC7">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textAlignment w:val="auto"/>
      </w:pPr>
      <w:r>
        <w:rPr>
          <w:rFonts w:hint="eastAsia" w:ascii="仿宋_GB2312" w:hAnsi="Times New Roman" w:eastAsia="仿宋_GB2312" w:cs="仿宋_GB2312"/>
          <w:sz w:val="31"/>
          <w:szCs w:val="31"/>
        </w:rPr>
        <w:t>围绕</w:t>
      </w:r>
      <w:r>
        <w:rPr>
          <w:rFonts w:hint="default" w:ascii="Times New Roman" w:hAnsi="Times New Roman" w:cs="Times New Roman"/>
          <w:sz w:val="31"/>
          <w:szCs w:val="31"/>
        </w:rPr>
        <w:t>“</w:t>
      </w:r>
      <w:r>
        <w:rPr>
          <w:rFonts w:hint="eastAsia" w:ascii="仿宋_GB2312" w:hAnsi="Times New Roman" w:eastAsia="仿宋_GB2312" w:cs="仿宋_GB2312"/>
          <w:sz w:val="31"/>
          <w:szCs w:val="31"/>
        </w:rPr>
        <w:t>高效办成一件事</w:t>
      </w:r>
      <w:r>
        <w:rPr>
          <w:rFonts w:hint="default" w:ascii="Times New Roman" w:hAnsi="Times New Roman" w:cs="Times New Roman"/>
          <w:sz w:val="31"/>
          <w:szCs w:val="31"/>
        </w:rPr>
        <w:t>”</w:t>
      </w:r>
      <w:r>
        <w:rPr>
          <w:rFonts w:hint="eastAsia" w:ascii="仿宋_GB2312" w:hAnsi="Times New Roman" w:eastAsia="仿宋_GB2312" w:cs="仿宋_GB2312"/>
          <w:sz w:val="31"/>
          <w:szCs w:val="31"/>
        </w:rPr>
        <w:t>，继续推进</w:t>
      </w:r>
      <w:r>
        <w:rPr>
          <w:rFonts w:hint="default" w:ascii="Times New Roman" w:hAnsi="Times New Roman" w:cs="Times New Roman"/>
          <w:sz w:val="31"/>
          <w:szCs w:val="31"/>
        </w:rPr>
        <w:t>“</w:t>
      </w:r>
      <w:r>
        <w:rPr>
          <w:rFonts w:hint="eastAsia" w:ascii="仿宋_GB2312" w:hAnsi="Times New Roman" w:eastAsia="仿宋_GB2312" w:cs="仿宋_GB2312"/>
          <w:sz w:val="31"/>
          <w:szCs w:val="31"/>
        </w:rPr>
        <w:t>便民办税春风行动</w:t>
      </w:r>
      <w:r>
        <w:rPr>
          <w:rFonts w:hint="default" w:ascii="Times New Roman" w:hAnsi="Times New Roman" w:cs="Times New Roman"/>
          <w:sz w:val="31"/>
          <w:szCs w:val="31"/>
        </w:rPr>
        <w:t>”</w:t>
      </w:r>
      <w:r>
        <w:rPr>
          <w:rFonts w:hint="eastAsia" w:ascii="仿宋_GB2312" w:hAnsi="Times New Roman" w:eastAsia="仿宋_GB2312" w:cs="仿宋_GB2312"/>
          <w:sz w:val="31"/>
          <w:szCs w:val="31"/>
        </w:rPr>
        <w:t>，完善行政执法过程管理，严格落实纳税服务规范、税收征管规范等工作制度，完善行政执法</w:t>
      </w:r>
      <w:r>
        <w:rPr>
          <w:rFonts w:hint="default" w:ascii="Times New Roman" w:hAnsi="Times New Roman" w:cs="Times New Roman"/>
          <w:sz w:val="31"/>
          <w:szCs w:val="31"/>
        </w:rPr>
        <w:t>“</w:t>
      </w:r>
      <w:r>
        <w:rPr>
          <w:rFonts w:hint="eastAsia" w:ascii="仿宋_GB2312" w:hAnsi="Times New Roman" w:eastAsia="仿宋_GB2312" w:cs="仿宋_GB2312"/>
          <w:sz w:val="31"/>
          <w:szCs w:val="31"/>
        </w:rPr>
        <w:t>三项制度</w:t>
      </w:r>
      <w:r>
        <w:rPr>
          <w:rFonts w:hint="default" w:ascii="Times New Roman" w:hAnsi="Times New Roman" w:cs="Times New Roman"/>
          <w:sz w:val="31"/>
          <w:szCs w:val="31"/>
        </w:rPr>
        <w:t>”</w:t>
      </w:r>
      <w:r>
        <w:rPr>
          <w:rFonts w:hint="eastAsia" w:ascii="仿宋_GB2312" w:hAnsi="Times New Roman" w:eastAsia="仿宋_GB2312" w:cs="仿宋_GB2312"/>
          <w:sz w:val="31"/>
          <w:szCs w:val="31"/>
        </w:rPr>
        <w:t>，运用行政执法音像记录和重大法制审核有效规范重大执法行为，全面实现执法信息公开透明、执法全过程可回溯管理、执法决定合法有效，强化证据思维和执法质量意识，有效提升基层精确执法能力。</w:t>
      </w:r>
    </w:p>
    <w:p w14:paraId="6EE0FBDB">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textAlignment w:val="auto"/>
      </w:pPr>
      <w:r>
        <w:rPr>
          <w:rFonts w:hint="eastAsia" w:ascii="黑体" w:hAnsi="宋体" w:eastAsia="黑体" w:cs="黑体"/>
          <w:sz w:val="31"/>
          <w:szCs w:val="31"/>
        </w:rPr>
        <w:t>三、固根本、提效能，开拓税务执法新维度</w:t>
      </w:r>
    </w:p>
    <w:p w14:paraId="0F4C8902">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textAlignment w:val="auto"/>
      </w:pPr>
      <w:r>
        <w:rPr>
          <w:rFonts w:hint="eastAsia" w:ascii="楷体_GB2312" w:hAnsi="Times New Roman" w:eastAsia="楷体_GB2312" w:cs="楷体_GB2312"/>
          <w:sz w:val="31"/>
          <w:szCs w:val="31"/>
        </w:rPr>
        <w:t>（一）宽严并济，筑牢税收执法刚性底线</w:t>
      </w:r>
    </w:p>
    <w:p w14:paraId="1F5FF339">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textAlignment w:val="auto"/>
      </w:pPr>
      <w:r>
        <w:rPr>
          <w:rFonts w:hint="eastAsia" w:ascii="仿宋_GB2312" w:hAnsi="Times New Roman" w:eastAsia="仿宋_GB2312" w:cs="仿宋_GB2312"/>
          <w:sz w:val="31"/>
          <w:szCs w:val="31"/>
        </w:rPr>
        <w:t>严格落实税务总局发布的</w:t>
      </w:r>
      <w:r>
        <w:rPr>
          <w:rFonts w:hint="default" w:ascii="Times New Roman" w:hAnsi="Times New Roman" w:cs="Times New Roman"/>
          <w:sz w:val="31"/>
          <w:szCs w:val="31"/>
        </w:rPr>
        <w:t>2</w:t>
      </w:r>
      <w:r>
        <w:rPr>
          <w:rFonts w:hint="eastAsia" w:ascii="仿宋_GB2312" w:hAnsi="Times New Roman" w:eastAsia="仿宋_GB2312" w:cs="仿宋_GB2312"/>
          <w:sz w:val="31"/>
          <w:szCs w:val="31"/>
        </w:rPr>
        <w:t>批</w:t>
      </w:r>
      <w:r>
        <w:rPr>
          <w:rFonts w:hint="default" w:ascii="Times New Roman" w:hAnsi="Times New Roman" w:cs="Times New Roman"/>
          <w:sz w:val="31"/>
          <w:szCs w:val="31"/>
        </w:rPr>
        <w:t>14</w:t>
      </w:r>
      <w:r>
        <w:rPr>
          <w:rFonts w:hint="eastAsia" w:ascii="仿宋_GB2312" w:hAnsi="Times New Roman" w:eastAsia="仿宋_GB2312" w:cs="仿宋_GB2312"/>
          <w:sz w:val="31"/>
          <w:szCs w:val="31"/>
        </w:rPr>
        <w:t>项</w:t>
      </w:r>
      <w:r>
        <w:rPr>
          <w:rFonts w:hint="default" w:ascii="Times New Roman" w:hAnsi="Times New Roman" w:cs="Times New Roman"/>
          <w:sz w:val="31"/>
          <w:szCs w:val="31"/>
        </w:rPr>
        <w:t>“</w:t>
      </w:r>
      <w:r>
        <w:rPr>
          <w:rFonts w:hint="eastAsia" w:ascii="仿宋_GB2312" w:hAnsi="Times New Roman" w:eastAsia="仿宋_GB2312" w:cs="仿宋_GB2312"/>
          <w:sz w:val="31"/>
          <w:szCs w:val="31"/>
        </w:rPr>
        <w:t>首违不罚</w:t>
      </w:r>
      <w:r>
        <w:rPr>
          <w:rFonts w:hint="default" w:ascii="Times New Roman" w:hAnsi="Times New Roman" w:cs="Times New Roman"/>
          <w:sz w:val="31"/>
          <w:szCs w:val="31"/>
        </w:rPr>
        <w:t>”</w:t>
      </w:r>
      <w:r>
        <w:rPr>
          <w:rFonts w:hint="eastAsia" w:ascii="仿宋_GB2312" w:hAnsi="Times New Roman" w:eastAsia="仿宋_GB2312" w:cs="仿宋_GB2312"/>
          <w:sz w:val="31"/>
          <w:szCs w:val="31"/>
        </w:rPr>
        <w:t>事项清单和《华北区域税务行政处罚裁量基准》，坚持处罚和教育相结合，对首违不罚、轻微不罚事项充分引导、法理相融、说理释义。扎实做好税务部门支持和促进京津冀协同发展工作要求，创新税收精准监管方式，分级分类实施精准管理，对符合特定情形的当事人执行《京津冀地区不予行政强制措施清单》，规范税务强制裁量权执行标准，确保《京津冀税务行政强制裁量基准（试行）》实施落地，推进区域化税收执法标准统一。</w:t>
      </w:r>
    </w:p>
    <w:p w14:paraId="60C7DAED">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textAlignment w:val="auto"/>
      </w:pPr>
      <w:r>
        <w:rPr>
          <w:rFonts w:hint="eastAsia" w:ascii="楷体_GB2312" w:eastAsia="楷体_GB2312" w:cs="楷体_GB2312"/>
          <w:sz w:val="31"/>
          <w:szCs w:val="31"/>
        </w:rPr>
        <w:t>（二）</w:t>
      </w:r>
      <w:r>
        <w:rPr>
          <w:rFonts w:hint="eastAsia" w:ascii="楷体_GB2312" w:hAnsi="Times New Roman" w:eastAsia="楷体_GB2312" w:cs="楷体_GB2312"/>
          <w:sz w:val="31"/>
          <w:szCs w:val="31"/>
        </w:rPr>
        <w:t>数据赋能，驱动精准执法效能倍增</w:t>
      </w:r>
    </w:p>
    <w:p w14:paraId="7D6AE74E">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textAlignment w:val="auto"/>
      </w:pPr>
      <w:r>
        <w:rPr>
          <w:rFonts w:hint="eastAsia" w:ascii="仿宋_GB2312" w:hAnsi="Times New Roman" w:eastAsia="仿宋_GB2312" w:cs="仿宋_GB2312"/>
          <w:sz w:val="31"/>
          <w:szCs w:val="31"/>
        </w:rPr>
        <w:t>全面推动行政执法</w:t>
      </w:r>
      <w:r>
        <w:rPr>
          <w:rFonts w:hint="default" w:ascii="Times New Roman" w:hAnsi="Times New Roman" w:cs="Times New Roman"/>
          <w:sz w:val="31"/>
          <w:szCs w:val="31"/>
        </w:rPr>
        <w:t>“</w:t>
      </w:r>
      <w:r>
        <w:rPr>
          <w:rFonts w:hint="eastAsia" w:ascii="仿宋_GB2312" w:hAnsi="Times New Roman" w:eastAsia="仿宋_GB2312" w:cs="仿宋_GB2312"/>
          <w:sz w:val="31"/>
          <w:szCs w:val="31"/>
        </w:rPr>
        <w:t>三项制度</w:t>
      </w:r>
      <w:r>
        <w:rPr>
          <w:rFonts w:hint="default" w:ascii="Times New Roman" w:hAnsi="Times New Roman" w:cs="Times New Roman"/>
          <w:sz w:val="31"/>
          <w:szCs w:val="31"/>
        </w:rPr>
        <w:t>”</w:t>
      </w:r>
      <w:r>
        <w:rPr>
          <w:rFonts w:hint="eastAsia" w:ascii="仿宋_GB2312" w:hAnsi="Times New Roman" w:eastAsia="仿宋_GB2312" w:cs="仿宋_GB2312"/>
          <w:sz w:val="31"/>
          <w:szCs w:val="31"/>
        </w:rPr>
        <w:t>智能化、规范化运用，分类梳理行政处罚、税务检查、强制措施等征管法权力事项。深化税收大数据应用，通过数据自动预警、风险智能画像，对税收保全、强制扣缴、限制出境等措施实现精准指导。积极完善智慧税务建设，进一步优化新电子税务局功能，统筹推动办税服务厅和</w:t>
      </w:r>
      <w:r>
        <w:rPr>
          <w:rFonts w:hint="default" w:ascii="Times New Roman" w:hAnsi="Times New Roman" w:cs="Times New Roman"/>
          <w:sz w:val="31"/>
          <w:szCs w:val="31"/>
        </w:rPr>
        <w:t>12366</w:t>
      </w:r>
      <w:r>
        <w:rPr>
          <w:rFonts w:hint="eastAsia" w:ascii="仿宋_GB2312" w:hAnsi="Times New Roman" w:eastAsia="仿宋_GB2312" w:cs="仿宋_GB2312"/>
          <w:sz w:val="31"/>
          <w:szCs w:val="31"/>
        </w:rPr>
        <w:t>一体转型升级，以数据赋能提升税收治理效能。</w:t>
      </w:r>
    </w:p>
    <w:p w14:paraId="6CE556EB">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textAlignment w:val="auto"/>
      </w:pPr>
      <w:r>
        <w:rPr>
          <w:rFonts w:hint="eastAsia" w:ascii="黑体" w:hAnsi="宋体" w:eastAsia="黑体" w:cs="黑体"/>
          <w:sz w:val="31"/>
          <w:szCs w:val="31"/>
        </w:rPr>
        <w:t>四、优治理、增动能，构建税收治理新格局</w:t>
      </w:r>
    </w:p>
    <w:p w14:paraId="27E36313">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textAlignment w:val="auto"/>
      </w:pPr>
      <w:r>
        <w:rPr>
          <w:rFonts w:hint="eastAsia" w:ascii="楷体_GB2312" w:hAnsi="Times New Roman" w:eastAsia="楷体_GB2312" w:cs="楷体_GB2312"/>
          <w:sz w:val="31"/>
          <w:szCs w:val="31"/>
        </w:rPr>
        <w:t>（一）共治共享，推动协同半径拓展升级</w:t>
      </w:r>
    </w:p>
    <w:p w14:paraId="0AA4091B">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textAlignment w:val="auto"/>
      </w:pPr>
      <w:r>
        <w:rPr>
          <w:rFonts w:hint="eastAsia" w:ascii="仿宋_GB2312" w:hAnsi="Times New Roman" w:eastAsia="仿宋_GB2312" w:cs="仿宋_GB2312"/>
          <w:sz w:val="31"/>
          <w:szCs w:val="31"/>
        </w:rPr>
        <w:t>落实深化</w:t>
      </w:r>
      <w:r>
        <w:rPr>
          <w:rFonts w:hint="default" w:ascii="Times New Roman" w:hAnsi="Times New Roman" w:cs="Times New Roman"/>
          <w:sz w:val="31"/>
          <w:szCs w:val="31"/>
        </w:rPr>
        <w:t>“</w:t>
      </w:r>
      <w:r>
        <w:rPr>
          <w:rFonts w:hint="eastAsia" w:ascii="仿宋_GB2312" w:hAnsi="Times New Roman" w:eastAsia="仿宋_GB2312" w:cs="仿宋_GB2312"/>
          <w:sz w:val="31"/>
          <w:szCs w:val="31"/>
        </w:rPr>
        <w:t>放管服</w:t>
      </w:r>
      <w:r>
        <w:rPr>
          <w:rFonts w:hint="default" w:ascii="Times New Roman" w:hAnsi="Times New Roman" w:cs="Times New Roman"/>
          <w:sz w:val="31"/>
          <w:szCs w:val="31"/>
        </w:rPr>
        <w:t>”</w:t>
      </w:r>
      <w:r>
        <w:rPr>
          <w:rFonts w:hint="eastAsia" w:ascii="仿宋_GB2312" w:hAnsi="Times New Roman" w:eastAsia="仿宋_GB2312" w:cs="仿宋_GB2312"/>
          <w:sz w:val="31"/>
          <w:szCs w:val="31"/>
        </w:rPr>
        <w:t>改革优化营商环境的工作要求，在各市场领域配合推行</w:t>
      </w:r>
      <w:r>
        <w:rPr>
          <w:rFonts w:hint="default" w:ascii="Times New Roman" w:hAnsi="Times New Roman" w:cs="Times New Roman"/>
          <w:sz w:val="31"/>
          <w:szCs w:val="31"/>
        </w:rPr>
        <w:t>“</w:t>
      </w:r>
      <w:r>
        <w:rPr>
          <w:rFonts w:hint="eastAsia" w:ascii="仿宋_GB2312" w:hAnsi="Times New Roman" w:eastAsia="仿宋_GB2312" w:cs="仿宋_GB2312"/>
          <w:sz w:val="31"/>
          <w:szCs w:val="31"/>
        </w:rPr>
        <w:t>双随机、一公开</w:t>
      </w:r>
      <w:r>
        <w:rPr>
          <w:rFonts w:hint="default" w:ascii="Times New Roman" w:hAnsi="Times New Roman" w:cs="Times New Roman"/>
          <w:sz w:val="31"/>
          <w:szCs w:val="31"/>
        </w:rPr>
        <w:t>”</w:t>
      </w:r>
      <w:r>
        <w:rPr>
          <w:rFonts w:hint="eastAsia" w:ascii="仿宋_GB2312" w:hAnsi="Times New Roman" w:eastAsia="仿宋_GB2312" w:cs="仿宋_GB2312"/>
          <w:sz w:val="31"/>
          <w:szCs w:val="31"/>
        </w:rPr>
        <w:t>联合检查，牵头开展未办税户领域检查</w:t>
      </w:r>
      <w:r>
        <w:rPr>
          <w:rFonts w:hint="default" w:ascii="Times New Roman" w:hAnsi="Times New Roman" w:cs="Times New Roman"/>
          <w:sz w:val="31"/>
          <w:szCs w:val="31"/>
        </w:rPr>
        <w:t>2</w:t>
      </w:r>
      <w:r>
        <w:rPr>
          <w:rFonts w:hint="eastAsia" w:ascii="仿宋_GB2312" w:hAnsi="Times New Roman" w:eastAsia="仿宋_GB2312" w:cs="仿宋_GB2312"/>
          <w:sz w:val="31"/>
          <w:szCs w:val="31"/>
        </w:rPr>
        <w:t>户次，配合区应急管理局、公安局、市场监管局等单位在</w:t>
      </w:r>
      <w:r>
        <w:rPr>
          <w:rFonts w:hint="default" w:ascii="Times New Roman" w:hAnsi="Times New Roman" w:cs="Times New Roman"/>
          <w:sz w:val="31"/>
          <w:szCs w:val="31"/>
        </w:rPr>
        <w:t>23</w:t>
      </w:r>
      <w:r>
        <w:rPr>
          <w:rFonts w:hint="eastAsia" w:ascii="仿宋_GB2312" w:hAnsi="Times New Roman" w:eastAsia="仿宋_GB2312" w:cs="仿宋_GB2312"/>
          <w:sz w:val="31"/>
          <w:szCs w:val="31"/>
        </w:rPr>
        <w:t>个领域开展联合检查</w:t>
      </w:r>
      <w:r>
        <w:rPr>
          <w:rFonts w:hint="default" w:ascii="Times New Roman" w:hAnsi="Times New Roman" w:cs="Times New Roman"/>
          <w:sz w:val="31"/>
          <w:szCs w:val="31"/>
        </w:rPr>
        <w:t>61</w:t>
      </w:r>
      <w:r>
        <w:rPr>
          <w:rFonts w:hint="eastAsia" w:ascii="仿宋_GB2312" w:hAnsi="Times New Roman" w:eastAsia="仿宋_GB2312" w:cs="仿宋_GB2312"/>
          <w:sz w:val="31"/>
          <w:szCs w:val="31"/>
        </w:rPr>
        <w:t>户次；与检察机关协作开展加油站行业涉税专项监督、职务犯罪案件涉税疑点分析；探索跨区域</w:t>
      </w:r>
      <w:r>
        <w:rPr>
          <w:rFonts w:hint="default" w:ascii="Times New Roman" w:hAnsi="Times New Roman" w:cs="Times New Roman"/>
          <w:sz w:val="31"/>
          <w:szCs w:val="31"/>
        </w:rPr>
        <w:t>“</w:t>
      </w:r>
      <w:r>
        <w:rPr>
          <w:rFonts w:hint="eastAsia" w:ascii="仿宋_GB2312" w:hAnsi="Times New Roman" w:eastAsia="仿宋_GB2312" w:cs="仿宋_GB2312"/>
          <w:sz w:val="31"/>
          <w:szCs w:val="31"/>
        </w:rPr>
        <w:t>税执联动</w:t>
      </w:r>
      <w:r>
        <w:rPr>
          <w:rFonts w:hint="default" w:ascii="Times New Roman" w:hAnsi="Times New Roman" w:cs="Times New Roman"/>
          <w:sz w:val="31"/>
          <w:szCs w:val="31"/>
        </w:rPr>
        <w:t>”</w:t>
      </w:r>
      <w:r>
        <w:rPr>
          <w:rFonts w:hint="eastAsia" w:ascii="仿宋_GB2312" w:hAnsi="Times New Roman" w:eastAsia="仿宋_GB2312" w:cs="仿宋_GB2312"/>
          <w:sz w:val="31"/>
          <w:szCs w:val="31"/>
        </w:rPr>
        <w:t>，完成不动产司法拍卖税费测算</w:t>
      </w:r>
      <w:r>
        <w:rPr>
          <w:rFonts w:hint="default" w:ascii="Times New Roman" w:hAnsi="Times New Roman" w:cs="Times New Roman"/>
          <w:sz w:val="31"/>
          <w:szCs w:val="31"/>
        </w:rPr>
        <w:t>300</w:t>
      </w:r>
      <w:r>
        <w:rPr>
          <w:rFonts w:hint="eastAsia" w:ascii="仿宋_GB2312" w:hAnsi="Times New Roman" w:eastAsia="仿宋_GB2312" w:cs="仿宋_GB2312"/>
          <w:sz w:val="31"/>
          <w:szCs w:val="31"/>
        </w:rPr>
        <w:t>余件，在全市率先成功主张税收优先权并从法院执行款清缴入库，以数据融通、信息融合驱动监管共治、风险联防。</w:t>
      </w:r>
    </w:p>
    <w:p w14:paraId="6B9DDD7D">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15" w:firstLine="645"/>
        <w:textAlignment w:val="auto"/>
      </w:pPr>
      <w:r>
        <w:rPr>
          <w:rFonts w:hint="eastAsia" w:ascii="楷体_GB2312" w:eastAsia="楷体_GB2312" w:cs="楷体_GB2312"/>
          <w:sz w:val="31"/>
          <w:szCs w:val="31"/>
        </w:rPr>
        <w:t>（二）</w:t>
      </w:r>
      <w:r>
        <w:rPr>
          <w:rFonts w:hint="eastAsia" w:ascii="楷体_GB2312" w:hAnsi="Times New Roman" w:eastAsia="楷体_GB2312" w:cs="楷体_GB2312"/>
          <w:sz w:val="31"/>
          <w:szCs w:val="31"/>
        </w:rPr>
        <w:t>共商共调，推动争议调解实质化解</w:t>
      </w:r>
    </w:p>
    <w:p w14:paraId="2FCC5271">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textAlignment w:val="auto"/>
      </w:pPr>
      <w:r>
        <w:rPr>
          <w:rFonts w:hint="eastAsia" w:ascii="仿宋_GB2312" w:hAnsi="Times New Roman" w:eastAsia="仿宋_GB2312" w:cs="仿宋_GB2312"/>
          <w:sz w:val="31"/>
          <w:szCs w:val="31"/>
        </w:rPr>
        <w:t>整合征管、法制、纳服、税费种业务科室等部门骨干，多方协同构建</w:t>
      </w:r>
      <w:r>
        <w:rPr>
          <w:rFonts w:hint="default" w:ascii="Times New Roman" w:hAnsi="Times New Roman" w:cs="Times New Roman"/>
          <w:sz w:val="31"/>
          <w:szCs w:val="31"/>
        </w:rPr>
        <w:t>“</w:t>
      </w:r>
      <w:r>
        <w:rPr>
          <w:rFonts w:hint="eastAsia" w:ascii="仿宋_GB2312" w:hAnsi="Times New Roman" w:eastAsia="仿宋_GB2312" w:cs="仿宋_GB2312"/>
          <w:sz w:val="31"/>
          <w:szCs w:val="31"/>
        </w:rPr>
        <w:t>立体化</w:t>
      </w:r>
      <w:r>
        <w:rPr>
          <w:rFonts w:hint="default" w:ascii="Times New Roman" w:hAnsi="Times New Roman" w:cs="Times New Roman"/>
          <w:sz w:val="31"/>
          <w:szCs w:val="31"/>
        </w:rPr>
        <w:t>”</w:t>
      </w:r>
      <w:r>
        <w:rPr>
          <w:rFonts w:hint="eastAsia" w:ascii="仿宋_GB2312" w:hAnsi="Times New Roman" w:eastAsia="仿宋_GB2312" w:cs="仿宋_GB2312"/>
          <w:sz w:val="31"/>
          <w:szCs w:val="31"/>
        </w:rPr>
        <w:t>跨部门税费疑难事项处理机制，对轻微涉税违法举报做到快接、快转、快调、快反馈，聚焦核心诉求追本溯源，提高纳税人遵从度和满意度。以跨部门税费疑难事项处理机制为依托，前置化参与纳服投诉、信息公开、信访举报等涉税纠纷，深入剖析争议产生的政策、事实和法律根源，跨部门解决税费疑难事项</w:t>
      </w:r>
      <w:r>
        <w:rPr>
          <w:rFonts w:hint="default" w:ascii="Times New Roman" w:hAnsi="Times New Roman" w:cs="Times New Roman"/>
          <w:sz w:val="31"/>
          <w:szCs w:val="31"/>
        </w:rPr>
        <w:t>20</w:t>
      </w:r>
      <w:r>
        <w:rPr>
          <w:rFonts w:hint="eastAsia" w:ascii="仿宋_GB2312" w:hAnsi="Times New Roman" w:eastAsia="仿宋_GB2312" w:cs="仿宋_GB2312"/>
          <w:sz w:val="31"/>
          <w:szCs w:val="31"/>
        </w:rPr>
        <w:t>余件，办理行政复议诉讼案件</w:t>
      </w:r>
      <w:r>
        <w:rPr>
          <w:rFonts w:hint="default" w:ascii="Times New Roman" w:hAnsi="Times New Roman" w:cs="Times New Roman"/>
          <w:sz w:val="31"/>
          <w:szCs w:val="31"/>
        </w:rPr>
        <w:t>9</w:t>
      </w:r>
      <w:r>
        <w:rPr>
          <w:rFonts w:hint="eastAsia" w:ascii="仿宋_GB2312" w:hAnsi="Times New Roman" w:eastAsia="仿宋_GB2312" w:cs="仿宋_GB2312"/>
          <w:sz w:val="31"/>
          <w:szCs w:val="31"/>
        </w:rPr>
        <w:t>件，充分运用</w:t>
      </w:r>
      <w:r>
        <w:rPr>
          <w:rFonts w:hint="default" w:ascii="Times New Roman" w:hAnsi="Times New Roman" w:cs="Times New Roman"/>
          <w:sz w:val="31"/>
          <w:szCs w:val="31"/>
        </w:rPr>
        <w:t>“</w:t>
      </w:r>
      <w:r>
        <w:rPr>
          <w:rFonts w:hint="eastAsia" w:ascii="仿宋_GB2312" w:hAnsi="Times New Roman" w:eastAsia="仿宋_GB2312" w:cs="仿宋_GB2312"/>
          <w:sz w:val="31"/>
          <w:szCs w:val="31"/>
        </w:rPr>
        <w:t>枫桥经验</w:t>
      </w:r>
      <w:r>
        <w:rPr>
          <w:rFonts w:hint="default" w:ascii="Times New Roman" w:hAnsi="Times New Roman" w:cs="Times New Roman"/>
          <w:sz w:val="31"/>
          <w:szCs w:val="31"/>
        </w:rPr>
        <w:t>”</w:t>
      </w:r>
      <w:r>
        <w:rPr>
          <w:rFonts w:hint="eastAsia" w:ascii="仿宋_GB2312" w:hAnsi="Times New Roman" w:eastAsia="仿宋_GB2312" w:cs="仿宋_GB2312"/>
          <w:sz w:val="31"/>
          <w:szCs w:val="31"/>
        </w:rPr>
        <w:t>解决纳税人关切，做到</w:t>
      </w:r>
      <w:r>
        <w:rPr>
          <w:rFonts w:hint="default" w:ascii="Times New Roman" w:hAnsi="Times New Roman" w:cs="Times New Roman"/>
          <w:sz w:val="31"/>
          <w:szCs w:val="31"/>
        </w:rPr>
        <w:t>“</w:t>
      </w:r>
      <w:r>
        <w:rPr>
          <w:rFonts w:hint="eastAsia" w:ascii="仿宋_GB2312" w:hAnsi="Times New Roman" w:eastAsia="仿宋_GB2312" w:cs="仿宋_GB2312"/>
          <w:sz w:val="31"/>
          <w:szCs w:val="31"/>
        </w:rPr>
        <w:t>化解一个争议，解决一类问题</w:t>
      </w:r>
      <w:r>
        <w:rPr>
          <w:rFonts w:hint="default" w:ascii="Times New Roman" w:hAnsi="Times New Roman" w:cs="Times New Roman"/>
          <w:sz w:val="31"/>
          <w:szCs w:val="31"/>
        </w:rPr>
        <w:t>”</w:t>
      </w:r>
      <w:r>
        <w:rPr>
          <w:rFonts w:hint="eastAsia" w:ascii="仿宋_GB2312" w:hAnsi="Times New Roman" w:eastAsia="仿宋_GB2312" w:cs="仿宋_GB2312"/>
          <w:sz w:val="31"/>
          <w:szCs w:val="31"/>
        </w:rPr>
        <w:t>。</w:t>
      </w:r>
    </w:p>
    <w:p w14:paraId="68819200">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15" w:firstLine="645"/>
        <w:textAlignment w:val="auto"/>
      </w:pPr>
      <w:r>
        <w:rPr>
          <w:rFonts w:hint="eastAsia" w:ascii="楷体_GB2312" w:eastAsia="楷体_GB2312" w:cs="楷体_GB2312"/>
          <w:sz w:val="31"/>
          <w:szCs w:val="31"/>
        </w:rPr>
        <w:t>（三）</w:t>
      </w:r>
      <w:r>
        <w:rPr>
          <w:rFonts w:hint="eastAsia" w:ascii="楷体_GB2312" w:hAnsi="Times New Roman" w:eastAsia="楷体_GB2312" w:cs="楷体_GB2312"/>
          <w:sz w:val="31"/>
          <w:szCs w:val="31"/>
        </w:rPr>
        <w:t>夯基固本，带动税费服务全面升级</w:t>
      </w:r>
    </w:p>
    <w:p w14:paraId="117E915E">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textAlignment w:val="auto"/>
      </w:pPr>
      <w:r>
        <w:rPr>
          <w:rFonts w:hint="eastAsia" w:ascii="仿宋_GB2312" w:hAnsi="Times New Roman" w:eastAsia="仿宋_GB2312" w:cs="仿宋_GB2312"/>
          <w:sz w:val="31"/>
          <w:szCs w:val="31"/>
        </w:rPr>
        <w:t>有力有序推进税费服务中心建设，推进三批</w:t>
      </w:r>
      <w:r>
        <w:rPr>
          <w:rFonts w:hint="default" w:ascii="Times New Roman" w:hAnsi="Times New Roman" w:cs="Times New Roman"/>
          <w:sz w:val="31"/>
          <w:szCs w:val="31"/>
        </w:rPr>
        <w:t>63</w:t>
      </w:r>
      <w:r>
        <w:rPr>
          <w:rFonts w:hint="eastAsia" w:ascii="仿宋_GB2312" w:hAnsi="Times New Roman" w:eastAsia="仿宋_GB2312" w:cs="仿宋_GB2312"/>
          <w:sz w:val="31"/>
          <w:szCs w:val="31"/>
        </w:rPr>
        <w:t>项审批事项前移，各类审核环节有效压减。</w:t>
      </w:r>
      <w:r>
        <w:rPr>
          <w:rFonts w:hint="default" w:ascii="Times New Roman" w:hAnsi="Times New Roman" w:cs="Times New Roman"/>
          <w:sz w:val="31"/>
          <w:szCs w:val="31"/>
        </w:rPr>
        <w:t>2025</w:t>
      </w:r>
      <w:r>
        <w:rPr>
          <w:rFonts w:hint="eastAsia" w:ascii="仿宋_GB2312" w:hAnsi="Times New Roman" w:eastAsia="仿宋_GB2312" w:cs="仿宋_GB2312"/>
          <w:sz w:val="31"/>
          <w:szCs w:val="31"/>
        </w:rPr>
        <w:t>年度，与总局纳税人满意度工作有机结合，坚持</w:t>
      </w:r>
      <w:r>
        <w:rPr>
          <w:rFonts w:hint="default" w:ascii="Times New Roman" w:hAnsi="Times New Roman" w:cs="Times New Roman"/>
          <w:sz w:val="31"/>
          <w:szCs w:val="31"/>
        </w:rPr>
        <w:t>“</w:t>
      </w:r>
      <w:r>
        <w:rPr>
          <w:rFonts w:hint="eastAsia" w:ascii="仿宋_GB2312" w:hAnsi="Times New Roman" w:eastAsia="仿宋_GB2312" w:cs="仿宋_GB2312"/>
          <w:sz w:val="31"/>
          <w:szCs w:val="31"/>
        </w:rPr>
        <w:t>早部署、早行动、早落实</w:t>
      </w:r>
      <w:r>
        <w:rPr>
          <w:rFonts w:hint="default" w:ascii="Times New Roman" w:hAnsi="Times New Roman" w:cs="Times New Roman"/>
          <w:sz w:val="31"/>
          <w:szCs w:val="31"/>
        </w:rPr>
        <w:t>”</w:t>
      </w:r>
      <w:r>
        <w:rPr>
          <w:rFonts w:hint="eastAsia" w:ascii="仿宋_GB2312" w:hAnsi="Times New Roman" w:eastAsia="仿宋_GB2312" w:cs="仿宋_GB2312"/>
          <w:sz w:val="31"/>
          <w:szCs w:val="31"/>
        </w:rPr>
        <w:t>原则，采取</w:t>
      </w:r>
      <w:r>
        <w:rPr>
          <w:rFonts w:hint="default" w:ascii="Times New Roman" w:hAnsi="Times New Roman" w:cs="Times New Roman"/>
          <w:sz w:val="31"/>
          <w:szCs w:val="31"/>
        </w:rPr>
        <w:t>“</w:t>
      </w:r>
      <w:r>
        <w:rPr>
          <w:rFonts w:hint="eastAsia" w:ascii="仿宋_GB2312" w:hAnsi="Times New Roman" w:eastAsia="仿宋_GB2312" w:cs="仿宋_GB2312"/>
          <w:sz w:val="31"/>
          <w:szCs w:val="31"/>
        </w:rPr>
        <w:t>一对一</w:t>
      </w:r>
      <w:r>
        <w:rPr>
          <w:rFonts w:hint="default" w:ascii="Times New Roman" w:hAnsi="Times New Roman" w:cs="Times New Roman"/>
          <w:sz w:val="31"/>
          <w:szCs w:val="31"/>
        </w:rPr>
        <w:t>”</w:t>
      </w:r>
      <w:r>
        <w:rPr>
          <w:rFonts w:hint="eastAsia" w:ascii="仿宋_GB2312" w:hAnsi="Times New Roman" w:eastAsia="仿宋_GB2312" w:cs="仿宋_GB2312"/>
          <w:sz w:val="31"/>
          <w:szCs w:val="31"/>
        </w:rPr>
        <w:t>精准辅导模式，引导纳税人客观、真实、完整地填写问卷，累计对</w:t>
      </w:r>
      <w:r>
        <w:rPr>
          <w:rFonts w:hint="default" w:ascii="Times New Roman" w:hAnsi="Times New Roman" w:cs="Times New Roman"/>
          <w:sz w:val="31"/>
          <w:szCs w:val="31"/>
        </w:rPr>
        <w:t>5000</w:t>
      </w:r>
      <w:r>
        <w:rPr>
          <w:rFonts w:hint="eastAsia" w:ascii="仿宋_GB2312" w:hAnsi="Times New Roman" w:eastAsia="仿宋_GB2312" w:cs="仿宋_GB2312"/>
          <w:sz w:val="31"/>
          <w:szCs w:val="31"/>
        </w:rPr>
        <w:t>余户进行精准辅导。开展常态化</w:t>
      </w:r>
      <w:r>
        <w:rPr>
          <w:rFonts w:hint="default" w:ascii="Times New Roman" w:hAnsi="Times New Roman" w:cs="Times New Roman"/>
          <w:sz w:val="31"/>
          <w:szCs w:val="31"/>
        </w:rPr>
        <w:t>“</w:t>
      </w:r>
      <w:r>
        <w:rPr>
          <w:rFonts w:hint="eastAsia" w:ascii="仿宋_GB2312" w:hAnsi="Times New Roman" w:eastAsia="仿宋_GB2312" w:cs="仿宋_GB2312"/>
          <w:sz w:val="31"/>
          <w:szCs w:val="31"/>
        </w:rPr>
        <w:t>税企面对面</w:t>
      </w:r>
      <w:r>
        <w:rPr>
          <w:rFonts w:hint="default" w:ascii="Times New Roman" w:hAnsi="Times New Roman" w:cs="Times New Roman"/>
          <w:sz w:val="31"/>
          <w:szCs w:val="31"/>
        </w:rPr>
        <w:t>”</w:t>
      </w:r>
      <w:r>
        <w:rPr>
          <w:rFonts w:hint="eastAsia" w:ascii="仿宋_GB2312" w:hAnsi="Times New Roman" w:eastAsia="仿宋_GB2312" w:cs="仿宋_GB2312"/>
          <w:sz w:val="31"/>
          <w:szCs w:val="31"/>
        </w:rPr>
        <w:t>活动，帮助企业解决诉求，开办实体纳税人学堂</w:t>
      </w:r>
      <w:r>
        <w:rPr>
          <w:rFonts w:hint="default" w:ascii="Times New Roman" w:hAnsi="Times New Roman" w:cs="Times New Roman"/>
          <w:sz w:val="31"/>
          <w:szCs w:val="31"/>
        </w:rPr>
        <w:t>8</w:t>
      </w:r>
      <w:r>
        <w:rPr>
          <w:rFonts w:hint="eastAsia" w:ascii="仿宋_GB2312" w:hAnsi="Times New Roman" w:eastAsia="仿宋_GB2312" w:cs="仿宋_GB2312"/>
          <w:sz w:val="31"/>
          <w:szCs w:val="31"/>
        </w:rPr>
        <w:t>场，面对面辅导解决税费诉求</w:t>
      </w:r>
      <w:r>
        <w:rPr>
          <w:rFonts w:hint="default" w:ascii="Times New Roman" w:hAnsi="Times New Roman" w:cs="Times New Roman"/>
          <w:sz w:val="31"/>
          <w:szCs w:val="31"/>
        </w:rPr>
        <w:t>40</w:t>
      </w:r>
      <w:r>
        <w:rPr>
          <w:rFonts w:hint="eastAsia" w:ascii="仿宋_GB2312" w:hAnsi="Times New Roman" w:eastAsia="仿宋_GB2312" w:cs="仿宋_GB2312"/>
          <w:sz w:val="31"/>
          <w:szCs w:val="31"/>
        </w:rPr>
        <w:t>余个，以优质服务护航纳税人合规经营。</w:t>
      </w:r>
    </w:p>
    <w:p w14:paraId="6630353B">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textAlignment w:val="auto"/>
      </w:pPr>
      <w:r>
        <w:rPr>
          <w:rFonts w:hint="eastAsia" w:ascii="黑体" w:hAnsi="宋体" w:eastAsia="黑体" w:cs="黑体"/>
          <w:sz w:val="31"/>
          <w:szCs w:val="31"/>
        </w:rPr>
        <w:t>五、强素质、优队伍，凝聚税务干部新合力</w:t>
      </w:r>
    </w:p>
    <w:p w14:paraId="03ADEB18">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textAlignment w:val="auto"/>
      </w:pPr>
      <w:r>
        <w:rPr>
          <w:rFonts w:hint="eastAsia" w:ascii="楷体_GB2312" w:hAnsi="Times New Roman" w:eastAsia="楷体_GB2312" w:cs="楷体_GB2312"/>
          <w:sz w:val="31"/>
          <w:szCs w:val="31"/>
        </w:rPr>
        <w:t>（一）聚焦</w:t>
      </w:r>
      <w:r>
        <w:rPr>
          <w:rFonts w:hint="default" w:ascii="Times New Roman" w:hAnsi="Times New Roman" w:cs="Times New Roman"/>
          <w:sz w:val="31"/>
          <w:szCs w:val="31"/>
        </w:rPr>
        <w:t>“</w:t>
      </w:r>
      <w:r>
        <w:rPr>
          <w:rFonts w:hint="eastAsia" w:ascii="楷体_GB2312" w:hAnsi="Times New Roman" w:eastAsia="楷体_GB2312" w:cs="楷体_GB2312"/>
          <w:sz w:val="31"/>
          <w:szCs w:val="31"/>
        </w:rPr>
        <w:t>关键少数</w:t>
      </w:r>
      <w:r>
        <w:rPr>
          <w:rFonts w:hint="default" w:ascii="Times New Roman" w:hAnsi="Times New Roman" w:cs="Times New Roman"/>
          <w:sz w:val="31"/>
          <w:szCs w:val="31"/>
        </w:rPr>
        <w:t>”</w:t>
      </w:r>
      <w:r>
        <w:rPr>
          <w:rFonts w:hint="eastAsia" w:ascii="楷体_GB2312" w:hAnsi="Times New Roman" w:eastAsia="楷体_GB2312" w:cs="楷体_GB2312"/>
          <w:sz w:val="31"/>
          <w:szCs w:val="31"/>
        </w:rPr>
        <w:t>，强化领导干部学法用法引领力</w:t>
      </w:r>
    </w:p>
    <w:p w14:paraId="23FA2F31">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textAlignment w:val="auto"/>
      </w:pPr>
      <w:r>
        <w:rPr>
          <w:rFonts w:hint="eastAsia" w:ascii="仿宋_GB2312" w:hAnsi="Times New Roman" w:eastAsia="仿宋_GB2312" w:cs="仿宋_GB2312"/>
          <w:sz w:val="31"/>
          <w:szCs w:val="31"/>
        </w:rPr>
        <w:t>将法治学习列入党委中心组学习、领导干部任职培训的</w:t>
      </w:r>
      <w:r>
        <w:rPr>
          <w:rFonts w:hint="default" w:ascii="Times New Roman" w:hAnsi="Times New Roman" w:cs="Times New Roman"/>
          <w:sz w:val="31"/>
          <w:szCs w:val="31"/>
        </w:rPr>
        <w:t>“</w:t>
      </w:r>
      <w:r>
        <w:rPr>
          <w:rFonts w:hint="eastAsia" w:ascii="仿宋_GB2312" w:hAnsi="Times New Roman" w:eastAsia="仿宋_GB2312" w:cs="仿宋_GB2312"/>
          <w:sz w:val="31"/>
          <w:szCs w:val="31"/>
        </w:rPr>
        <w:t>必修课</w:t>
      </w:r>
      <w:r>
        <w:rPr>
          <w:rFonts w:hint="default" w:ascii="Times New Roman" w:hAnsi="Times New Roman" w:cs="Times New Roman"/>
          <w:sz w:val="31"/>
          <w:szCs w:val="31"/>
        </w:rPr>
        <w:t>”</w:t>
      </w:r>
      <w:r>
        <w:rPr>
          <w:rFonts w:hint="eastAsia" w:ascii="仿宋_GB2312" w:hAnsi="Times New Roman" w:eastAsia="仿宋_GB2312" w:cs="仿宋_GB2312"/>
          <w:sz w:val="31"/>
          <w:szCs w:val="31"/>
        </w:rPr>
        <w:t>，强化领导干部推进法治建设第一责任人意识，健全常态化学法制度，高频学习宪法、民法典、行政法、税收法律法规，专题学习习近平法治思想、《税务人员税收业务违法行为处分规定 》等，对稽查交流干部、新提职干部和新入职干部开展</w:t>
      </w:r>
      <w:r>
        <w:rPr>
          <w:rFonts w:hint="default" w:ascii="Times New Roman" w:hAnsi="Times New Roman" w:cs="Times New Roman"/>
          <w:sz w:val="31"/>
          <w:szCs w:val="31"/>
        </w:rPr>
        <w:t>“</w:t>
      </w:r>
      <w:r>
        <w:rPr>
          <w:rFonts w:hint="eastAsia" w:ascii="仿宋_GB2312" w:hAnsi="Times New Roman" w:eastAsia="仿宋_GB2312" w:cs="仿宋_GB2312"/>
          <w:sz w:val="31"/>
          <w:szCs w:val="31"/>
        </w:rPr>
        <w:t>宪法宣誓</w:t>
      </w:r>
      <w:r>
        <w:rPr>
          <w:rFonts w:hint="default" w:ascii="Times New Roman" w:hAnsi="Times New Roman" w:cs="Times New Roman"/>
          <w:sz w:val="31"/>
          <w:szCs w:val="31"/>
        </w:rPr>
        <w:t>”</w:t>
      </w:r>
      <w:r>
        <w:rPr>
          <w:rFonts w:hint="eastAsia" w:ascii="仿宋_GB2312" w:hAnsi="Times New Roman" w:eastAsia="仿宋_GB2312" w:cs="仿宋_GB2312"/>
          <w:sz w:val="31"/>
          <w:szCs w:val="31"/>
        </w:rPr>
        <w:t>和法治培训，将法治思维内化为决策习惯，确保行政决策依法依规、程序正当。</w:t>
      </w:r>
    </w:p>
    <w:p w14:paraId="124B7368">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630"/>
        <w:textAlignment w:val="auto"/>
      </w:pPr>
      <w:r>
        <w:rPr>
          <w:rFonts w:hint="default" w:ascii="Times New Roman" w:hAnsi="Times New Roman" w:cs="Times New Roman"/>
          <w:sz w:val="31"/>
          <w:szCs w:val="31"/>
        </w:rPr>
        <w:t>(</w:t>
      </w:r>
      <w:r>
        <w:rPr>
          <w:rFonts w:hint="eastAsia" w:ascii="楷体_GB2312" w:hAnsi="Times New Roman" w:eastAsia="楷体_GB2312" w:cs="楷体_GB2312"/>
          <w:sz w:val="31"/>
          <w:szCs w:val="31"/>
        </w:rPr>
        <w:t>二）锻造</w:t>
      </w:r>
      <w:r>
        <w:rPr>
          <w:rFonts w:hint="default" w:ascii="Times New Roman" w:hAnsi="Times New Roman" w:cs="Times New Roman"/>
          <w:sz w:val="31"/>
          <w:szCs w:val="31"/>
        </w:rPr>
        <w:t>“</w:t>
      </w:r>
      <w:r>
        <w:rPr>
          <w:rFonts w:hint="eastAsia" w:ascii="楷体_GB2312" w:hAnsi="Times New Roman" w:eastAsia="楷体_GB2312" w:cs="楷体_GB2312"/>
          <w:sz w:val="31"/>
          <w:szCs w:val="31"/>
        </w:rPr>
        <w:t>专业内核</w:t>
      </w:r>
      <w:r>
        <w:rPr>
          <w:rFonts w:hint="default" w:ascii="Times New Roman" w:hAnsi="Times New Roman" w:cs="Times New Roman"/>
          <w:sz w:val="31"/>
          <w:szCs w:val="31"/>
        </w:rPr>
        <w:t>”</w:t>
      </w:r>
      <w:r>
        <w:rPr>
          <w:rFonts w:hint="eastAsia" w:ascii="楷体_GB2312" w:hAnsi="Times New Roman" w:eastAsia="楷体_GB2312" w:cs="楷体_GB2312"/>
          <w:sz w:val="31"/>
          <w:szCs w:val="31"/>
        </w:rPr>
        <w:t>，夯实干部队伍学法用法实战力</w:t>
      </w:r>
    </w:p>
    <w:p w14:paraId="3E32789C">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textAlignment w:val="auto"/>
      </w:pPr>
      <w:r>
        <w:rPr>
          <w:rFonts w:hint="eastAsia" w:ascii="仿宋_GB2312" w:hAnsi="Times New Roman" w:eastAsia="仿宋_GB2312" w:cs="仿宋_GB2312"/>
          <w:sz w:val="31"/>
          <w:szCs w:val="31"/>
        </w:rPr>
        <w:t>成立区局</w:t>
      </w:r>
      <w:r>
        <w:rPr>
          <w:rFonts w:hint="default" w:ascii="Times New Roman" w:hAnsi="Times New Roman" w:cs="Times New Roman"/>
          <w:sz w:val="31"/>
          <w:szCs w:val="31"/>
        </w:rPr>
        <w:t>“</w:t>
      </w:r>
      <w:r>
        <w:rPr>
          <w:rFonts w:hint="eastAsia" w:ascii="仿宋_GB2312" w:hAnsi="Times New Roman" w:eastAsia="仿宋_GB2312" w:cs="仿宋_GB2312"/>
          <w:sz w:val="31"/>
          <w:szCs w:val="31"/>
        </w:rPr>
        <w:t>津彩税青年</w:t>
      </w:r>
      <w:r>
        <w:rPr>
          <w:rFonts w:hint="default" w:ascii="Times New Roman" w:hAnsi="Times New Roman" w:cs="Times New Roman"/>
          <w:sz w:val="31"/>
          <w:szCs w:val="31"/>
        </w:rPr>
        <w:t>”</w:t>
      </w:r>
      <w:r>
        <w:rPr>
          <w:rFonts w:hint="eastAsia" w:ascii="仿宋_GB2312" w:hAnsi="Times New Roman" w:eastAsia="仿宋_GB2312" w:cs="仿宋_GB2312"/>
          <w:sz w:val="31"/>
          <w:szCs w:val="31"/>
        </w:rPr>
        <w:t>支队，充分发挥</w:t>
      </w:r>
      <w:r>
        <w:rPr>
          <w:rFonts w:hint="default" w:ascii="Times New Roman" w:hAnsi="Times New Roman" w:cs="Times New Roman"/>
          <w:sz w:val="31"/>
          <w:szCs w:val="31"/>
        </w:rPr>
        <w:t>“</w:t>
      </w:r>
      <w:r>
        <w:rPr>
          <w:rFonts w:hint="eastAsia" w:ascii="仿宋_GB2312" w:hAnsi="Times New Roman" w:eastAsia="仿宋_GB2312" w:cs="仿宋_GB2312"/>
          <w:sz w:val="31"/>
          <w:szCs w:val="31"/>
        </w:rPr>
        <w:t>燃青春</w:t>
      </w:r>
      <w:r>
        <w:rPr>
          <w:rFonts w:hint="default" w:ascii="Times New Roman" w:hAnsi="Times New Roman" w:cs="Times New Roman"/>
          <w:sz w:val="31"/>
          <w:szCs w:val="31"/>
        </w:rPr>
        <w:t>”</w:t>
      </w:r>
      <w:r>
        <w:rPr>
          <w:rFonts w:hint="eastAsia" w:ascii="仿宋_GB2312" w:hAnsi="Times New Roman" w:eastAsia="仿宋_GB2312" w:cs="仿宋_GB2312"/>
          <w:sz w:val="31"/>
          <w:szCs w:val="31"/>
        </w:rPr>
        <w:t>项目综合体、孵化器和催化剂作用，以项目队伍工作成果带动全局整体工作提档升级，开展业务培训和技能展示，激发青年干部在税收岗位争先奋进。围绕人才培养</w:t>
      </w:r>
      <w:r>
        <w:rPr>
          <w:rFonts w:hint="default" w:ascii="Times New Roman" w:hAnsi="Times New Roman" w:cs="Times New Roman"/>
          <w:sz w:val="31"/>
          <w:szCs w:val="31"/>
        </w:rPr>
        <w:t>“4212”</w:t>
      </w:r>
      <w:r>
        <w:rPr>
          <w:rFonts w:hint="eastAsia" w:ascii="仿宋_GB2312" w:hAnsi="Times New Roman" w:eastAsia="仿宋_GB2312" w:cs="仿宋_GB2312"/>
          <w:sz w:val="31"/>
          <w:szCs w:val="31"/>
        </w:rPr>
        <w:t>工程鼓励干部积极参加人才选拔、在职研究生、</w:t>
      </w:r>
      <w:r>
        <w:rPr>
          <w:rFonts w:hint="default" w:ascii="Times New Roman" w:hAnsi="Times New Roman" w:cs="Times New Roman"/>
          <w:sz w:val="31"/>
          <w:szCs w:val="31"/>
        </w:rPr>
        <w:t>“</w:t>
      </w:r>
      <w:r>
        <w:rPr>
          <w:rFonts w:hint="eastAsia" w:ascii="仿宋_GB2312" w:hAnsi="Times New Roman" w:eastAsia="仿宋_GB2312" w:cs="仿宋_GB2312"/>
          <w:sz w:val="31"/>
          <w:szCs w:val="31"/>
        </w:rPr>
        <w:t>三师</w:t>
      </w:r>
      <w:r>
        <w:rPr>
          <w:rFonts w:hint="default" w:ascii="Times New Roman" w:hAnsi="Times New Roman" w:cs="Times New Roman"/>
          <w:sz w:val="31"/>
          <w:szCs w:val="31"/>
        </w:rPr>
        <w:t>”</w:t>
      </w:r>
      <w:r>
        <w:rPr>
          <w:rFonts w:hint="eastAsia" w:ascii="仿宋_GB2312" w:hAnsi="Times New Roman" w:eastAsia="仿宋_GB2312" w:cs="仿宋_GB2312"/>
          <w:sz w:val="31"/>
          <w:szCs w:val="31"/>
        </w:rPr>
        <w:t>考试，新入职干部全员通过税务执法资格考试，国家工作人员学法用法考试通过率</w:t>
      </w:r>
      <w:r>
        <w:rPr>
          <w:rFonts w:hint="default" w:ascii="Times New Roman" w:hAnsi="Times New Roman" w:cs="Times New Roman"/>
          <w:sz w:val="31"/>
          <w:szCs w:val="31"/>
        </w:rPr>
        <w:t>100%</w:t>
      </w:r>
      <w:r>
        <w:rPr>
          <w:rFonts w:hint="eastAsia" w:ascii="仿宋_GB2312" w:hAnsi="Times New Roman" w:eastAsia="仿宋_GB2312" w:cs="仿宋_GB2312"/>
          <w:sz w:val="31"/>
          <w:szCs w:val="31"/>
        </w:rPr>
        <w:t>，公职律师队伍扩充至</w:t>
      </w:r>
      <w:r>
        <w:rPr>
          <w:rFonts w:hint="default" w:ascii="Times New Roman" w:hAnsi="Times New Roman" w:cs="Times New Roman"/>
          <w:sz w:val="31"/>
          <w:szCs w:val="31"/>
        </w:rPr>
        <w:t>11</w:t>
      </w:r>
      <w:r>
        <w:rPr>
          <w:rFonts w:hint="eastAsia" w:ascii="仿宋_GB2312" w:hAnsi="Times New Roman" w:eastAsia="仿宋_GB2312" w:cs="仿宋_GB2312"/>
          <w:sz w:val="31"/>
          <w:szCs w:val="31"/>
        </w:rPr>
        <w:t>人，为依法治税奠定人才基石。</w:t>
      </w:r>
    </w:p>
    <w:p w14:paraId="1691C460">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textAlignment w:val="auto"/>
      </w:pPr>
      <w:r>
        <w:rPr>
          <w:rFonts w:hint="eastAsia" w:ascii="黑体" w:hAnsi="宋体" w:eastAsia="黑体" w:cs="黑体"/>
          <w:sz w:val="31"/>
          <w:szCs w:val="31"/>
        </w:rPr>
        <w:t>六、存在问题和不足</w:t>
      </w:r>
    </w:p>
    <w:p w14:paraId="4A34F114">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textAlignment w:val="auto"/>
      </w:pPr>
      <w:r>
        <w:rPr>
          <w:rFonts w:hint="default" w:ascii="Times New Roman" w:hAnsi="Times New Roman" w:cs="Times New Roman"/>
          <w:sz w:val="31"/>
          <w:szCs w:val="31"/>
        </w:rPr>
        <w:t>2025</w:t>
      </w:r>
      <w:r>
        <w:rPr>
          <w:rFonts w:hint="eastAsia" w:ascii="仿宋_GB2312" w:hAnsi="Times New Roman" w:eastAsia="仿宋_GB2312" w:cs="仿宋_GB2312"/>
          <w:sz w:val="31"/>
          <w:szCs w:val="31"/>
        </w:rPr>
        <w:t>年我局在法治政府建设工作中多措并举、不断进取，紧密结合工作实际、严格落实各项制度，法治政府建设工作取得一定成效，但仍存在不足之处：一是在凝聚部门协同、数据共享的执法深度上还需探索，在跨部门涉税数据交换机制上还存在不通畅、不及时的问题；二是基层执法人员处理复杂税费业务能力还有待提高，对各业务条线综合钻研的深度和广度还需进一步提升。</w:t>
      </w:r>
    </w:p>
    <w:p w14:paraId="524E7717">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textAlignment w:val="auto"/>
      </w:pPr>
      <w:r>
        <w:rPr>
          <w:rFonts w:hint="eastAsia" w:ascii="黑体" w:hAnsi="宋体" w:eastAsia="黑体" w:cs="黑体"/>
          <w:sz w:val="31"/>
          <w:szCs w:val="31"/>
        </w:rPr>
        <w:t>七、下一步工作安排</w:t>
      </w:r>
    </w:p>
    <w:p w14:paraId="48CDCED9">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textAlignment w:val="auto"/>
      </w:pPr>
      <w:r>
        <w:rPr>
          <w:rFonts w:hint="eastAsia" w:ascii="楷体_GB2312" w:hAnsi="Times New Roman" w:eastAsia="楷体_GB2312" w:cs="楷体_GB2312"/>
          <w:sz w:val="31"/>
          <w:szCs w:val="31"/>
        </w:rPr>
        <w:t>（一）筑牢法治信仰，夯实执法能力建设</w:t>
      </w:r>
    </w:p>
    <w:p w14:paraId="69B60C64">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textAlignment w:val="auto"/>
      </w:pPr>
      <w:r>
        <w:rPr>
          <w:rFonts w:hint="eastAsia" w:ascii="仿宋_GB2312" w:hAnsi="Times New Roman" w:eastAsia="仿宋_GB2312" w:cs="仿宋_GB2312"/>
          <w:sz w:val="31"/>
          <w:szCs w:val="31"/>
        </w:rPr>
        <w:t>深入贯彻落实习近平法治思想和中央全面依法治国工作会议精神，领悟习近平法治思想的科学理论体系，持续强化干部法治信念，围绕</w:t>
      </w:r>
      <w:r>
        <w:rPr>
          <w:rFonts w:hint="default" w:ascii="Times New Roman" w:hAnsi="Times New Roman" w:cs="Times New Roman"/>
          <w:sz w:val="31"/>
          <w:szCs w:val="31"/>
        </w:rPr>
        <w:t>“</w:t>
      </w:r>
      <w:r>
        <w:rPr>
          <w:rFonts w:hint="eastAsia" w:ascii="仿宋_GB2312" w:hAnsi="Times New Roman" w:eastAsia="仿宋_GB2312" w:cs="仿宋_GB2312"/>
          <w:sz w:val="31"/>
          <w:szCs w:val="31"/>
        </w:rPr>
        <w:t>强基工程</w:t>
      </w:r>
      <w:r>
        <w:rPr>
          <w:rFonts w:hint="default" w:ascii="Times New Roman" w:hAnsi="Times New Roman" w:cs="Times New Roman"/>
          <w:sz w:val="31"/>
          <w:szCs w:val="31"/>
        </w:rPr>
        <w:t>”</w:t>
      </w:r>
      <w:r>
        <w:rPr>
          <w:rFonts w:hint="eastAsia" w:ascii="仿宋_GB2312" w:hAnsi="Times New Roman" w:eastAsia="仿宋_GB2312" w:cs="仿宋_GB2312"/>
          <w:sz w:val="31"/>
          <w:szCs w:val="31"/>
        </w:rPr>
        <w:t>构建</w:t>
      </w:r>
      <w:r>
        <w:rPr>
          <w:rFonts w:hint="default" w:ascii="Times New Roman" w:hAnsi="Times New Roman" w:cs="Times New Roman"/>
          <w:sz w:val="31"/>
          <w:szCs w:val="31"/>
        </w:rPr>
        <w:t>“</w:t>
      </w:r>
      <w:r>
        <w:rPr>
          <w:rFonts w:hint="eastAsia" w:ascii="仿宋_GB2312" w:hAnsi="Times New Roman" w:eastAsia="仿宋_GB2312" w:cs="仿宋_GB2312"/>
          <w:sz w:val="31"/>
          <w:szCs w:val="31"/>
        </w:rPr>
        <w:t>理论授课</w:t>
      </w:r>
      <w:r>
        <w:rPr>
          <w:rFonts w:hint="default" w:ascii="Times New Roman" w:hAnsi="Times New Roman" w:cs="Times New Roman"/>
          <w:sz w:val="31"/>
          <w:szCs w:val="31"/>
        </w:rPr>
        <w:t>+</w:t>
      </w:r>
      <w:r>
        <w:rPr>
          <w:rFonts w:hint="eastAsia" w:ascii="仿宋_GB2312" w:hAnsi="Times New Roman" w:eastAsia="仿宋_GB2312" w:cs="仿宋_GB2312"/>
          <w:sz w:val="31"/>
          <w:szCs w:val="31"/>
        </w:rPr>
        <w:t>实践研学</w:t>
      </w:r>
      <w:r>
        <w:rPr>
          <w:rFonts w:hint="default" w:ascii="Times New Roman" w:hAnsi="Times New Roman" w:cs="Times New Roman"/>
          <w:sz w:val="31"/>
          <w:szCs w:val="31"/>
        </w:rPr>
        <w:t>”“</w:t>
      </w:r>
      <w:r>
        <w:rPr>
          <w:rFonts w:hint="eastAsia" w:ascii="仿宋_GB2312" w:hAnsi="Times New Roman" w:eastAsia="仿宋_GB2312" w:cs="仿宋_GB2312"/>
          <w:sz w:val="31"/>
          <w:szCs w:val="31"/>
        </w:rPr>
        <w:t>云端课堂</w:t>
      </w:r>
      <w:r>
        <w:rPr>
          <w:rFonts w:hint="default" w:ascii="Times New Roman" w:hAnsi="Times New Roman" w:cs="Times New Roman"/>
          <w:sz w:val="31"/>
          <w:szCs w:val="31"/>
        </w:rPr>
        <w:t>+</w:t>
      </w:r>
      <w:r>
        <w:rPr>
          <w:rFonts w:hint="eastAsia" w:ascii="仿宋_GB2312" w:hAnsi="Times New Roman" w:eastAsia="仿宋_GB2312" w:cs="仿宋_GB2312"/>
          <w:sz w:val="31"/>
          <w:szCs w:val="31"/>
        </w:rPr>
        <w:t>线下研讨</w:t>
      </w:r>
      <w:r>
        <w:rPr>
          <w:rFonts w:hint="default" w:ascii="Times New Roman" w:hAnsi="Times New Roman" w:cs="Times New Roman"/>
          <w:sz w:val="31"/>
          <w:szCs w:val="31"/>
        </w:rPr>
        <w:t>”</w:t>
      </w:r>
      <w:r>
        <w:rPr>
          <w:rFonts w:hint="eastAsia" w:ascii="仿宋_GB2312" w:hAnsi="Times New Roman" w:eastAsia="仿宋_GB2312" w:cs="仿宋_GB2312"/>
          <w:sz w:val="31"/>
          <w:szCs w:val="31"/>
        </w:rPr>
        <w:t>多维学习矩阵，促进干部依法履职，严格依法依规组织收入，提升干部运用法治思维和法治方式发现问题、解决矛盾、化解风险的能力，推进全面依法行政工作不断取得新成效。</w:t>
      </w:r>
    </w:p>
    <w:p w14:paraId="3F600A71">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textAlignment w:val="auto"/>
      </w:pPr>
      <w:r>
        <w:rPr>
          <w:rFonts w:hint="eastAsia" w:ascii="楷体_GB2312" w:hAnsi="Times New Roman" w:eastAsia="楷体_GB2312" w:cs="楷体_GB2312"/>
          <w:sz w:val="31"/>
          <w:szCs w:val="31"/>
        </w:rPr>
        <w:t>（二）创新执法方式，提升智慧执法效能</w:t>
      </w:r>
    </w:p>
    <w:p w14:paraId="4292C923">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textAlignment w:val="auto"/>
      </w:pPr>
      <w:r>
        <w:rPr>
          <w:rFonts w:hint="eastAsia" w:ascii="仿宋_GB2312" w:hAnsi="Times New Roman" w:eastAsia="仿宋_GB2312" w:cs="仿宋_GB2312"/>
          <w:sz w:val="31"/>
          <w:szCs w:val="31"/>
        </w:rPr>
        <w:t>深化智慧税务应用成果，将现代信息技术与规范税务行政行为充分融合，建立科学高效、严格规范的税务执法质量智能控制体系，实现行政执法智能化、规范化、透明化。强化行政执法全链条全流程管理监督，构建</w:t>
      </w:r>
      <w:r>
        <w:rPr>
          <w:rFonts w:hint="default" w:ascii="Times New Roman" w:hAnsi="Times New Roman" w:cs="Times New Roman"/>
          <w:sz w:val="31"/>
          <w:szCs w:val="31"/>
        </w:rPr>
        <w:t>“</w:t>
      </w:r>
      <w:r>
        <w:rPr>
          <w:rFonts w:hint="eastAsia" w:ascii="仿宋_GB2312" w:hAnsi="Times New Roman" w:eastAsia="仿宋_GB2312" w:cs="仿宋_GB2312"/>
          <w:sz w:val="31"/>
          <w:szCs w:val="31"/>
        </w:rPr>
        <w:t>全面覆盖、全程防控、全员有责</w:t>
      </w:r>
      <w:r>
        <w:rPr>
          <w:rFonts w:hint="default" w:ascii="Times New Roman" w:hAnsi="Times New Roman" w:cs="Times New Roman"/>
          <w:sz w:val="31"/>
          <w:szCs w:val="31"/>
        </w:rPr>
        <w:t>”</w:t>
      </w:r>
      <w:r>
        <w:rPr>
          <w:rFonts w:hint="eastAsia" w:ascii="仿宋_GB2312" w:hAnsi="Times New Roman" w:eastAsia="仿宋_GB2312" w:cs="仿宋_GB2312"/>
          <w:sz w:val="31"/>
          <w:szCs w:val="31"/>
        </w:rPr>
        <w:t>的内控监督体系，严格落实税收执法责任制，以实而又实的举措有效防范执法风险，推动科学精确执法实现新突破。</w:t>
      </w:r>
    </w:p>
    <w:p w14:paraId="170E7A8D">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textAlignment w:val="auto"/>
      </w:pPr>
      <w:r>
        <w:rPr>
          <w:rFonts w:hint="eastAsia" w:ascii="楷体_GB2312" w:hAnsi="Times New Roman" w:eastAsia="楷体_GB2312" w:cs="楷体_GB2312"/>
          <w:sz w:val="31"/>
          <w:szCs w:val="31"/>
        </w:rPr>
        <w:t>（三）优化执法服务，提升税费治理效能</w:t>
      </w:r>
    </w:p>
    <w:p w14:paraId="14E6D9CE">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textAlignment w:val="auto"/>
      </w:pPr>
      <w:r>
        <w:rPr>
          <w:rFonts w:hint="eastAsia" w:ascii="仿宋_GB2312" w:hAnsi="Times New Roman" w:eastAsia="仿宋_GB2312" w:cs="仿宋_GB2312"/>
          <w:sz w:val="31"/>
          <w:szCs w:val="31"/>
        </w:rPr>
        <w:t>紧紧围绕新发展理念，持续性开展</w:t>
      </w:r>
      <w:r>
        <w:rPr>
          <w:rFonts w:hint="default" w:ascii="Times New Roman" w:hAnsi="Times New Roman" w:cs="Times New Roman"/>
          <w:sz w:val="31"/>
          <w:szCs w:val="31"/>
        </w:rPr>
        <w:t>“</w:t>
      </w:r>
      <w:r>
        <w:rPr>
          <w:rFonts w:hint="eastAsia" w:ascii="仿宋_GB2312" w:hAnsi="Times New Roman" w:eastAsia="仿宋_GB2312" w:cs="仿宋_GB2312"/>
          <w:sz w:val="31"/>
          <w:szCs w:val="31"/>
        </w:rPr>
        <w:t>便民办税春风行动</w:t>
      </w:r>
      <w:r>
        <w:rPr>
          <w:rFonts w:hint="default" w:ascii="Times New Roman" w:hAnsi="Times New Roman" w:cs="Times New Roman"/>
          <w:sz w:val="31"/>
          <w:szCs w:val="31"/>
        </w:rPr>
        <w:t>”</w:t>
      </w:r>
      <w:r>
        <w:rPr>
          <w:rFonts w:hint="eastAsia" w:ascii="仿宋_GB2312" w:hAnsi="Times New Roman" w:eastAsia="仿宋_GB2312" w:cs="仿宋_GB2312"/>
          <w:sz w:val="31"/>
          <w:szCs w:val="31"/>
        </w:rPr>
        <w:t>和</w:t>
      </w:r>
      <w:r>
        <w:rPr>
          <w:rFonts w:hint="default" w:ascii="Times New Roman" w:hAnsi="Times New Roman" w:cs="Times New Roman"/>
          <w:sz w:val="31"/>
          <w:szCs w:val="31"/>
        </w:rPr>
        <w:t>“</w:t>
      </w:r>
      <w:r>
        <w:rPr>
          <w:rFonts w:hint="eastAsia" w:ascii="仿宋_GB2312" w:hAnsi="Times New Roman" w:eastAsia="仿宋_GB2312" w:cs="仿宋_GB2312"/>
          <w:sz w:val="31"/>
          <w:szCs w:val="31"/>
        </w:rPr>
        <w:t>春雨润苗</w:t>
      </w:r>
      <w:r>
        <w:rPr>
          <w:rFonts w:hint="default" w:ascii="Times New Roman" w:hAnsi="Times New Roman" w:cs="Times New Roman"/>
          <w:sz w:val="31"/>
          <w:szCs w:val="31"/>
        </w:rPr>
        <w:t>”</w:t>
      </w:r>
      <w:r>
        <w:rPr>
          <w:rFonts w:hint="eastAsia" w:ascii="仿宋_GB2312" w:hAnsi="Times New Roman" w:eastAsia="仿宋_GB2312" w:cs="仿宋_GB2312"/>
          <w:sz w:val="31"/>
          <w:szCs w:val="31"/>
        </w:rPr>
        <w:t>专项工作，推动办税服务厅和税费服务中心转型升级，不断优化纳税人缴费人体验。针对性开展干部执法业务能力培训，立足柔性执法理念拓展说理式执法覆盖面，进一步规范执法程序、优化执法方式。继续拓展税费协同治理格局，推进与司法机关、市场监管、财政、海关等部门数据互通、信息共享，加大联合监管力度，优化联合服务措施，拓展税费协同共治新格局。</w:t>
      </w:r>
      <w:r>
        <w:rPr>
          <w:rFonts w:hint="default" w:ascii="Times New Roman" w:hAnsi="Times New Roman" w:cs="Times New Roman"/>
          <w:sz w:val="31"/>
          <w:szCs w:val="31"/>
        </w:rPr>
        <w:t>                     </w:t>
      </w:r>
    </w:p>
    <w:p w14:paraId="3291F0F0">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jc w:val="center"/>
        <w:textAlignment w:val="auto"/>
      </w:pPr>
      <w:r>
        <w:rPr>
          <w:rFonts w:hint="default" w:ascii="Times New Roman" w:hAnsi="Times New Roman" w:cs="Times New Roman"/>
          <w:sz w:val="31"/>
          <w:szCs w:val="31"/>
        </w:rPr>
        <w:t>                        </w:t>
      </w:r>
    </w:p>
    <w:p w14:paraId="49955475">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jc w:val="center"/>
        <w:textAlignment w:val="auto"/>
      </w:pPr>
      <w:r>
        <w:rPr>
          <w:rFonts w:hint="default" w:ascii="Times New Roman" w:hAnsi="Times New Roman" w:cs="Times New Roman"/>
          <w:sz w:val="31"/>
          <w:szCs w:val="31"/>
        </w:rPr>
        <w:t> </w:t>
      </w:r>
    </w:p>
    <w:p w14:paraId="6CAE5B4A">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jc w:val="center"/>
        <w:textAlignment w:val="auto"/>
      </w:pPr>
      <w:r>
        <w:rPr>
          <w:rFonts w:hint="default" w:ascii="Times New Roman" w:hAnsi="Times New Roman" w:cs="Times New Roman"/>
          <w:sz w:val="31"/>
          <w:szCs w:val="31"/>
        </w:rPr>
        <w:t> </w:t>
      </w:r>
    </w:p>
    <w:p w14:paraId="72135EFD">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jc w:val="center"/>
        <w:textAlignment w:val="auto"/>
      </w:pPr>
      <w:r>
        <w:rPr>
          <w:rFonts w:hint="default" w:ascii="Times New Roman" w:hAnsi="Times New Roman" w:cs="Times New Roman"/>
          <w:sz w:val="31"/>
          <w:szCs w:val="31"/>
        </w:rPr>
        <w:t>                              </w:t>
      </w:r>
      <w:r>
        <w:rPr>
          <w:rFonts w:hint="eastAsia" w:ascii="仿宋_GB2312" w:hAnsi="Times New Roman" w:eastAsia="仿宋_GB2312" w:cs="仿宋_GB2312"/>
          <w:sz w:val="31"/>
          <w:szCs w:val="31"/>
        </w:rPr>
        <w:t>国家税务总局东丽区税务局</w:t>
      </w:r>
    </w:p>
    <w:p w14:paraId="236EC396">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jc w:val="center"/>
        <w:textAlignment w:val="auto"/>
        <w:rPr>
          <w:rFonts w:hint="default" w:ascii="Times New Roman" w:hAnsi="Times New Roman" w:cs="Times New Roman"/>
        </w:rPr>
      </w:pPr>
      <w:r>
        <w:rPr>
          <w:rFonts w:hint="default" w:ascii="Times New Roman" w:hAnsi="Times New Roman" w:cs="Times New Roman"/>
          <w:sz w:val="31"/>
          <w:szCs w:val="31"/>
        </w:rPr>
        <w:t>                               2026</w:t>
      </w:r>
      <w:r>
        <w:rPr>
          <w:rFonts w:hint="eastAsia" w:ascii="仿宋_GB2312" w:hAnsi="Times New Roman" w:eastAsia="仿宋_GB2312" w:cs="仿宋_GB2312"/>
          <w:sz w:val="31"/>
          <w:szCs w:val="31"/>
        </w:rPr>
        <w:t>年</w:t>
      </w:r>
      <w:r>
        <w:rPr>
          <w:rFonts w:hint="default" w:ascii="Times New Roman" w:hAnsi="Times New Roman" w:cs="Times New Roman"/>
          <w:sz w:val="31"/>
          <w:szCs w:val="31"/>
        </w:rPr>
        <w:t>3</w:t>
      </w:r>
      <w:r>
        <w:rPr>
          <w:rFonts w:hint="eastAsia" w:ascii="仿宋_GB2312" w:hAnsi="Times New Roman" w:eastAsia="仿宋_GB2312" w:cs="仿宋_GB2312"/>
          <w:sz w:val="31"/>
          <w:szCs w:val="31"/>
        </w:rPr>
        <w:t>月</w:t>
      </w:r>
      <w:r>
        <w:rPr>
          <w:rFonts w:hint="default" w:ascii="Times New Roman" w:hAnsi="Times New Roman" w:cs="Times New Roman"/>
          <w:sz w:val="31"/>
          <w:szCs w:val="31"/>
        </w:rPr>
        <w:t>1</w:t>
      </w:r>
      <w:r>
        <w:rPr>
          <w:rFonts w:hint="default" w:ascii="Times New Roman" w:hAnsi="Times New Roman" w:eastAsia="仿宋_GB2312" w:cs="Times New Roman"/>
          <w:sz w:val="31"/>
          <w:szCs w:val="31"/>
        </w:rPr>
        <w:t>9</w:t>
      </w:r>
      <w:r>
        <w:rPr>
          <w:rFonts w:hint="eastAsia" w:ascii="仿宋_GB2312" w:hAnsi="Times New Roman" w:eastAsia="仿宋_GB2312" w:cs="仿宋_GB2312"/>
          <w:sz w:val="31"/>
          <w:szCs w:val="31"/>
        </w:rPr>
        <w:t>日</w:t>
      </w: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sans-serif">
    <w:altName w:val="Segoe Print"/>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8217D9">
    <w:pPr>
      <w:pStyle w:val="2"/>
      <w:framePr w:wrap="around" w:vAnchor="text" w:hAnchor="margin" w:xAlign="outside" w:y="1"/>
      <w:rPr>
        <w:rStyle w:val="7"/>
        <w:rFonts w:ascii="宋体" w:hAnsi="宋体"/>
        <w:sz w:val="28"/>
        <w:szCs w:val="28"/>
      </w:rPr>
    </w:pPr>
    <w:r>
      <w:rPr>
        <w:rStyle w:val="7"/>
        <w:rFonts w:hint="eastAsia" w:ascii="宋体" w:hAnsi="宋体"/>
        <w:sz w:val="28"/>
        <w:szCs w:val="28"/>
      </w:rPr>
      <w:t xml:space="preserve">— </w:t>
    </w:r>
    <w:r>
      <w:rPr>
        <w:rStyle w:val="7"/>
        <w:rFonts w:ascii="宋体" w:hAnsi="宋体"/>
        <w:sz w:val="28"/>
        <w:szCs w:val="28"/>
      </w:rPr>
      <w:fldChar w:fldCharType="begin"/>
    </w:r>
    <w:r>
      <w:rPr>
        <w:rStyle w:val="7"/>
        <w:rFonts w:ascii="宋体" w:hAnsi="宋体"/>
        <w:sz w:val="28"/>
        <w:szCs w:val="28"/>
      </w:rPr>
      <w:instrText xml:space="preserve">PAGE  </w:instrText>
    </w:r>
    <w:r>
      <w:rPr>
        <w:rStyle w:val="7"/>
        <w:rFonts w:ascii="宋体" w:hAnsi="宋体"/>
        <w:sz w:val="28"/>
        <w:szCs w:val="28"/>
      </w:rPr>
      <w:fldChar w:fldCharType="separate"/>
    </w:r>
    <w:r>
      <w:rPr>
        <w:rStyle w:val="7"/>
        <w:rFonts w:ascii="宋体" w:hAnsi="宋体"/>
        <w:sz w:val="28"/>
        <w:szCs w:val="28"/>
      </w:rPr>
      <w:t>9</w:t>
    </w:r>
    <w:r>
      <w:rPr>
        <w:rStyle w:val="7"/>
        <w:rFonts w:ascii="宋体" w:hAnsi="宋体"/>
        <w:sz w:val="28"/>
        <w:szCs w:val="28"/>
      </w:rPr>
      <w:fldChar w:fldCharType="end"/>
    </w:r>
    <w:r>
      <w:rPr>
        <w:rStyle w:val="7"/>
        <w:rFonts w:hint="eastAsia" w:ascii="宋体" w:hAnsi="宋体"/>
        <w:sz w:val="28"/>
        <w:szCs w:val="28"/>
      </w:rPr>
      <w:t xml:space="preserve"> —</w:t>
    </w:r>
  </w:p>
  <w:p w14:paraId="5F49EC46">
    <w:pPr>
      <w:pStyle w:val="2"/>
      <w:jc w:val="center"/>
    </w:pPr>
  </w:p>
  <w:p w14:paraId="474DB8F3">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00F6182"/>
    <w:rsid w:val="00344939"/>
    <w:rsid w:val="008B146B"/>
    <w:rsid w:val="00B953A9"/>
    <w:rsid w:val="00D22DC9"/>
    <w:rsid w:val="01017459"/>
    <w:rsid w:val="01874535"/>
    <w:rsid w:val="01C7250E"/>
    <w:rsid w:val="021B4C4F"/>
    <w:rsid w:val="024D7BFD"/>
    <w:rsid w:val="02947B3D"/>
    <w:rsid w:val="03D90321"/>
    <w:rsid w:val="04DC30A7"/>
    <w:rsid w:val="04E42F9D"/>
    <w:rsid w:val="061C21AF"/>
    <w:rsid w:val="06302E2C"/>
    <w:rsid w:val="06C37057"/>
    <w:rsid w:val="07122D36"/>
    <w:rsid w:val="08C60865"/>
    <w:rsid w:val="09A774B4"/>
    <w:rsid w:val="09B32D4B"/>
    <w:rsid w:val="09C117EC"/>
    <w:rsid w:val="09E5166A"/>
    <w:rsid w:val="0A897664"/>
    <w:rsid w:val="0ACB6208"/>
    <w:rsid w:val="0B337526"/>
    <w:rsid w:val="0BF131F1"/>
    <w:rsid w:val="0C2C0ACE"/>
    <w:rsid w:val="0C7454C2"/>
    <w:rsid w:val="0C8E6A8D"/>
    <w:rsid w:val="0CA62480"/>
    <w:rsid w:val="0D6626A2"/>
    <w:rsid w:val="0DE607A6"/>
    <w:rsid w:val="0E722934"/>
    <w:rsid w:val="0EB06127"/>
    <w:rsid w:val="0F276490"/>
    <w:rsid w:val="0F4D185F"/>
    <w:rsid w:val="0F603AB8"/>
    <w:rsid w:val="0FEA064B"/>
    <w:rsid w:val="0FFE5E8A"/>
    <w:rsid w:val="117C01E8"/>
    <w:rsid w:val="12AB72ED"/>
    <w:rsid w:val="14771E82"/>
    <w:rsid w:val="158620F3"/>
    <w:rsid w:val="15985DEA"/>
    <w:rsid w:val="15C102DB"/>
    <w:rsid w:val="16941769"/>
    <w:rsid w:val="169A7D18"/>
    <w:rsid w:val="16BB0F17"/>
    <w:rsid w:val="170C5EE2"/>
    <w:rsid w:val="172E796D"/>
    <w:rsid w:val="17B11990"/>
    <w:rsid w:val="180C6B64"/>
    <w:rsid w:val="185E657A"/>
    <w:rsid w:val="18EB5FAB"/>
    <w:rsid w:val="18FB1C89"/>
    <w:rsid w:val="19AF13CB"/>
    <w:rsid w:val="1B544AF2"/>
    <w:rsid w:val="1C177B6D"/>
    <w:rsid w:val="1D774446"/>
    <w:rsid w:val="1E686475"/>
    <w:rsid w:val="1F1C0E4D"/>
    <w:rsid w:val="200F6182"/>
    <w:rsid w:val="20F232D0"/>
    <w:rsid w:val="21776280"/>
    <w:rsid w:val="21B55DB9"/>
    <w:rsid w:val="220D7A3C"/>
    <w:rsid w:val="23E5139A"/>
    <w:rsid w:val="23F45526"/>
    <w:rsid w:val="23F92F04"/>
    <w:rsid w:val="24773284"/>
    <w:rsid w:val="24AE794D"/>
    <w:rsid w:val="24C82713"/>
    <w:rsid w:val="257C3F91"/>
    <w:rsid w:val="25A319A0"/>
    <w:rsid w:val="25FF30E4"/>
    <w:rsid w:val="27647AA2"/>
    <w:rsid w:val="27701F65"/>
    <w:rsid w:val="27785438"/>
    <w:rsid w:val="27C1602B"/>
    <w:rsid w:val="28186028"/>
    <w:rsid w:val="289D520B"/>
    <w:rsid w:val="28F96C6B"/>
    <w:rsid w:val="29DC5D10"/>
    <w:rsid w:val="2A59114F"/>
    <w:rsid w:val="2A961747"/>
    <w:rsid w:val="2AD02986"/>
    <w:rsid w:val="2AE7494C"/>
    <w:rsid w:val="2B232B0F"/>
    <w:rsid w:val="2B9215CA"/>
    <w:rsid w:val="2BCD56FA"/>
    <w:rsid w:val="2BDF6B8B"/>
    <w:rsid w:val="2D6720CF"/>
    <w:rsid w:val="2F000DF7"/>
    <w:rsid w:val="2F3829A6"/>
    <w:rsid w:val="30093431"/>
    <w:rsid w:val="302B311C"/>
    <w:rsid w:val="3041698A"/>
    <w:rsid w:val="31832DEF"/>
    <w:rsid w:val="330132E2"/>
    <w:rsid w:val="332F2C3E"/>
    <w:rsid w:val="34815E24"/>
    <w:rsid w:val="359333CD"/>
    <w:rsid w:val="36B762BF"/>
    <w:rsid w:val="37054A1F"/>
    <w:rsid w:val="370F7628"/>
    <w:rsid w:val="373C7248"/>
    <w:rsid w:val="376B42D9"/>
    <w:rsid w:val="376E1EAF"/>
    <w:rsid w:val="379B6DC5"/>
    <w:rsid w:val="37F670CB"/>
    <w:rsid w:val="38020CA3"/>
    <w:rsid w:val="38446EB2"/>
    <w:rsid w:val="3864741C"/>
    <w:rsid w:val="38BA7ED2"/>
    <w:rsid w:val="394D2371"/>
    <w:rsid w:val="39772E5C"/>
    <w:rsid w:val="39A272E0"/>
    <w:rsid w:val="39C408F4"/>
    <w:rsid w:val="39C478C4"/>
    <w:rsid w:val="3A0B36BD"/>
    <w:rsid w:val="3A141E13"/>
    <w:rsid w:val="3A1E4A56"/>
    <w:rsid w:val="3A4452B7"/>
    <w:rsid w:val="3A45672C"/>
    <w:rsid w:val="3A880D96"/>
    <w:rsid w:val="3ACF7C01"/>
    <w:rsid w:val="3B1D01C3"/>
    <w:rsid w:val="3B3E4C1D"/>
    <w:rsid w:val="3B91246D"/>
    <w:rsid w:val="3BA12CCC"/>
    <w:rsid w:val="3BEA732F"/>
    <w:rsid w:val="3C166795"/>
    <w:rsid w:val="3C513A99"/>
    <w:rsid w:val="3CC020A7"/>
    <w:rsid w:val="3E680FB0"/>
    <w:rsid w:val="3F1C15CF"/>
    <w:rsid w:val="3F3A600C"/>
    <w:rsid w:val="3F733DC1"/>
    <w:rsid w:val="408C31B2"/>
    <w:rsid w:val="40AE4A2E"/>
    <w:rsid w:val="417800D7"/>
    <w:rsid w:val="42C52441"/>
    <w:rsid w:val="43201F96"/>
    <w:rsid w:val="43FD09BA"/>
    <w:rsid w:val="444973DA"/>
    <w:rsid w:val="446565FD"/>
    <w:rsid w:val="44920FB2"/>
    <w:rsid w:val="44CA22B6"/>
    <w:rsid w:val="453E7B30"/>
    <w:rsid w:val="455A131F"/>
    <w:rsid w:val="459D3506"/>
    <w:rsid w:val="46090308"/>
    <w:rsid w:val="462922E3"/>
    <w:rsid w:val="46A02536"/>
    <w:rsid w:val="46AD3829"/>
    <w:rsid w:val="46BF2114"/>
    <w:rsid w:val="46DA6B2E"/>
    <w:rsid w:val="476A4794"/>
    <w:rsid w:val="47DD1FE7"/>
    <w:rsid w:val="48075191"/>
    <w:rsid w:val="48497B19"/>
    <w:rsid w:val="48DE22D8"/>
    <w:rsid w:val="48F50C24"/>
    <w:rsid w:val="490E1A4C"/>
    <w:rsid w:val="491B075C"/>
    <w:rsid w:val="492A0067"/>
    <w:rsid w:val="495E660D"/>
    <w:rsid w:val="495E7BCA"/>
    <w:rsid w:val="49A4071E"/>
    <w:rsid w:val="4AA06741"/>
    <w:rsid w:val="4B0B59A8"/>
    <w:rsid w:val="4B890256"/>
    <w:rsid w:val="4C83135B"/>
    <w:rsid w:val="4D0E271B"/>
    <w:rsid w:val="4D4B6717"/>
    <w:rsid w:val="4D6B160B"/>
    <w:rsid w:val="4D920FA3"/>
    <w:rsid w:val="4DAA34B3"/>
    <w:rsid w:val="4EC40B77"/>
    <w:rsid w:val="4ECE0118"/>
    <w:rsid w:val="4EDC28ED"/>
    <w:rsid w:val="50810E30"/>
    <w:rsid w:val="50B55208"/>
    <w:rsid w:val="5112709D"/>
    <w:rsid w:val="52547C4C"/>
    <w:rsid w:val="52AD0392"/>
    <w:rsid w:val="531C42E1"/>
    <w:rsid w:val="5326041F"/>
    <w:rsid w:val="53341E96"/>
    <w:rsid w:val="539F0C7B"/>
    <w:rsid w:val="54475EA3"/>
    <w:rsid w:val="55381E85"/>
    <w:rsid w:val="55B37765"/>
    <w:rsid w:val="55EF6F46"/>
    <w:rsid w:val="56EB400B"/>
    <w:rsid w:val="57903317"/>
    <w:rsid w:val="57DC03A3"/>
    <w:rsid w:val="57FF7307"/>
    <w:rsid w:val="583F7D33"/>
    <w:rsid w:val="586F5262"/>
    <w:rsid w:val="5882362E"/>
    <w:rsid w:val="58A115F9"/>
    <w:rsid w:val="59165E0F"/>
    <w:rsid w:val="59623A42"/>
    <w:rsid w:val="598E451A"/>
    <w:rsid w:val="5A18694D"/>
    <w:rsid w:val="5ABD7347"/>
    <w:rsid w:val="5AF912CD"/>
    <w:rsid w:val="5B293C93"/>
    <w:rsid w:val="5BFF7ECA"/>
    <w:rsid w:val="5C245EA1"/>
    <w:rsid w:val="5C3D5063"/>
    <w:rsid w:val="5C8B5432"/>
    <w:rsid w:val="5D712E25"/>
    <w:rsid w:val="5D8477A0"/>
    <w:rsid w:val="5DBB4EAA"/>
    <w:rsid w:val="5DC04E15"/>
    <w:rsid w:val="5E2D518C"/>
    <w:rsid w:val="5ECD5A3C"/>
    <w:rsid w:val="5EF03695"/>
    <w:rsid w:val="5FD60832"/>
    <w:rsid w:val="60726506"/>
    <w:rsid w:val="60AC0E18"/>
    <w:rsid w:val="611D7E3E"/>
    <w:rsid w:val="61485F8B"/>
    <w:rsid w:val="6184432B"/>
    <w:rsid w:val="61874E6A"/>
    <w:rsid w:val="61A61B02"/>
    <w:rsid w:val="61E04D61"/>
    <w:rsid w:val="62CC2975"/>
    <w:rsid w:val="62E352FB"/>
    <w:rsid w:val="62E54305"/>
    <w:rsid w:val="6310710A"/>
    <w:rsid w:val="63EB2840"/>
    <w:rsid w:val="64641E8F"/>
    <w:rsid w:val="64720315"/>
    <w:rsid w:val="6592552C"/>
    <w:rsid w:val="65A07E1E"/>
    <w:rsid w:val="65B53A02"/>
    <w:rsid w:val="65CA7901"/>
    <w:rsid w:val="66DB6108"/>
    <w:rsid w:val="66F94ABC"/>
    <w:rsid w:val="67AB16FD"/>
    <w:rsid w:val="67CB6EAD"/>
    <w:rsid w:val="67ED4EA8"/>
    <w:rsid w:val="68107B6A"/>
    <w:rsid w:val="694A2DE1"/>
    <w:rsid w:val="6962741B"/>
    <w:rsid w:val="69640494"/>
    <w:rsid w:val="69C10568"/>
    <w:rsid w:val="6ABA7B76"/>
    <w:rsid w:val="6AEE2C29"/>
    <w:rsid w:val="6B517B95"/>
    <w:rsid w:val="6D6F5D1A"/>
    <w:rsid w:val="6D8E0E5C"/>
    <w:rsid w:val="6E0E5322"/>
    <w:rsid w:val="6E14380E"/>
    <w:rsid w:val="6E5C7C68"/>
    <w:rsid w:val="6EC11D34"/>
    <w:rsid w:val="6EF177AD"/>
    <w:rsid w:val="6F2C11AA"/>
    <w:rsid w:val="6F8B2B6E"/>
    <w:rsid w:val="6F8C2DF2"/>
    <w:rsid w:val="6FB50D4E"/>
    <w:rsid w:val="6FC236CC"/>
    <w:rsid w:val="6FEA7C5A"/>
    <w:rsid w:val="6FF11ABB"/>
    <w:rsid w:val="701701C6"/>
    <w:rsid w:val="704774EE"/>
    <w:rsid w:val="7065139E"/>
    <w:rsid w:val="707F1A7F"/>
    <w:rsid w:val="70946B84"/>
    <w:rsid w:val="70A200D4"/>
    <w:rsid w:val="70BB7044"/>
    <w:rsid w:val="710A2730"/>
    <w:rsid w:val="711C65DF"/>
    <w:rsid w:val="714D5E0E"/>
    <w:rsid w:val="719B24A9"/>
    <w:rsid w:val="721D3D36"/>
    <w:rsid w:val="728F6AE6"/>
    <w:rsid w:val="73A25A6C"/>
    <w:rsid w:val="73FE6FE3"/>
    <w:rsid w:val="74B3470C"/>
    <w:rsid w:val="75640FAA"/>
    <w:rsid w:val="75840981"/>
    <w:rsid w:val="75B549ED"/>
    <w:rsid w:val="75E95BB2"/>
    <w:rsid w:val="77261AB6"/>
    <w:rsid w:val="77742BEC"/>
    <w:rsid w:val="77891F69"/>
    <w:rsid w:val="779D0447"/>
    <w:rsid w:val="77D578B2"/>
    <w:rsid w:val="797A3234"/>
    <w:rsid w:val="7992474F"/>
    <w:rsid w:val="7A2D6970"/>
    <w:rsid w:val="7AA21FA1"/>
    <w:rsid w:val="7AFA0243"/>
    <w:rsid w:val="7BC0569D"/>
    <w:rsid w:val="7C5A63BA"/>
    <w:rsid w:val="7C6417BD"/>
    <w:rsid w:val="7D8664AD"/>
    <w:rsid w:val="7DB51A19"/>
    <w:rsid w:val="7DEC471F"/>
    <w:rsid w:val="7E6C0E79"/>
    <w:rsid w:val="7EC042D5"/>
    <w:rsid w:val="7F726E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TML Preformatted"/>
    <w:basedOn w:val="1"/>
    <w:unhideWhenUsed/>
    <w:qFormat/>
    <w:uiPriority w:val="99"/>
    <w:pPr>
      <w:jc w:val="left"/>
    </w:pPr>
    <w:rPr>
      <w:rFonts w:ascii="宋体" w:hAnsi="宋体" w:cs="宋体"/>
      <w:kern w:val="0"/>
      <w:sz w:val="24"/>
      <w:szCs w:val="24"/>
    </w:r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page number"/>
    <w:basedOn w:val="6"/>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3522</Words>
  <Characters>3571</Characters>
  <Lines>0</Lines>
  <Paragraphs>0</Paragraphs>
  <TotalTime>20</TotalTime>
  <ScaleCrop>false</ScaleCrop>
  <LinksUpToDate>false</LinksUpToDate>
  <CharactersWithSpaces>3677</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2026-03-16T07:49:00Z</dcterms:created>
  <dc:creator>马荣</dc:creator>
  <cp:lastModifiedBy>感谢有你</cp:lastModifiedBy>
  <cp:lastPrinted>2026-03-16T08:05:00Z</cp:lastPrinted>
  <dcterms:modified xsi:type="dcterms:W3CDTF">2026-03-31T02:57:35Z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eyJoZGlkIjoiMTdmMGM4OWE3MjlmZmNhMTI0Y2ZkOTRjY2EzYzljYjMiLCJ1c2VySWQiOiI2OTM5MDgxNjcifQ==</vt:lpwstr>
  </property>
  <property fmtid="{D5CDD505-2E9C-101B-9397-08002B2CF9AE}" pid="4" name="ICV">
    <vt:lpwstr>424F1DBC64ED4D7AA0702E5CA86BA8E1_12</vt:lpwstr>
  </property>
</Properties>
</file>