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Theme="minorEastAsia" w:hAnsiTheme="minorEastAsia" w:eastAsiaTheme="minorEastAsia" w:cstheme="minorEastAsia"/>
          <w:b w:val="0"/>
          <w:bCs w:val="0"/>
          <w:color w:val="000000"/>
          <w:sz w:val="22"/>
          <w:szCs w:val="22"/>
        </w:rPr>
      </w:pPr>
    </w:p>
    <w:p>
      <w:pPr>
        <w:spacing w:line="600" w:lineRule="auto"/>
        <w:jc w:val="both"/>
        <w:rPr>
          <w:rFonts w:hint="eastAsia" w:asciiTheme="minorEastAsia" w:hAnsiTheme="minorEastAsia" w:eastAsiaTheme="minorEastAsia" w:cstheme="minorEastAsia"/>
          <w:b w:val="0"/>
          <w:bCs w:val="0"/>
          <w:color w:val="000000"/>
          <w:sz w:val="22"/>
          <w:szCs w:val="22"/>
        </w:rPr>
      </w:pPr>
    </w:p>
    <w:p>
      <w:pPr>
        <w:spacing w:line="600" w:lineRule="auto"/>
        <w:jc w:val="both"/>
        <w:rPr>
          <w:rFonts w:hint="eastAsia" w:asciiTheme="minorEastAsia" w:hAnsiTheme="minorEastAsia" w:eastAsiaTheme="minorEastAsia" w:cstheme="minorEastAsia"/>
          <w:b w:val="0"/>
          <w:bCs w:val="0"/>
          <w:color w:val="000000"/>
          <w:sz w:val="22"/>
          <w:szCs w:val="22"/>
        </w:rPr>
      </w:pPr>
    </w:p>
    <w:p>
      <w:pPr>
        <w:widowControl/>
        <w:spacing w:before="0" w:beforeLines="0" w:beforeAutospacing="0" w:after="0" w:afterLines="0" w:afterAutospacing="0" w:line="240" w:lineRule="auto"/>
        <w:jc w:val="center"/>
        <w:rPr>
          <w:rFonts w:ascii="Fz_S_BiaoSong_Jt" w:eastAsia="Fz_S_BiaoSong_Jt"/>
          <w:sz w:val="48"/>
          <w:szCs w:val="48"/>
        </w:rPr>
      </w:pPr>
      <w:r>
        <w:rPr>
          <w:rFonts w:ascii="Fz_S_BiaoSong_Jt" w:eastAsia="Fz_S_BiaoSong_Jt"/>
          <w:b w:val="0"/>
          <w:sz w:val="48"/>
          <w:szCs w:val="48"/>
        </w:rPr>
        <w:t>天津市东丽区农业农村委员会</w:t>
      </w:r>
    </w:p>
    <w:p>
      <w:pPr>
        <w:widowControl/>
        <w:spacing w:before="0" w:beforeLines="0" w:beforeAutospacing="0" w:after="0" w:afterLines="0" w:afterAutospacing="0" w:line="240" w:lineRule="auto"/>
        <w:jc w:val="center"/>
        <w:rPr>
          <w:rFonts w:ascii="Times New Roman" w:eastAsia="Fz_S_BiaoSong_Jt"/>
          <w:sz w:val="48"/>
          <w:szCs w:val="48"/>
        </w:rPr>
      </w:pPr>
      <w:r>
        <w:rPr>
          <w:rFonts w:ascii="Times New Roman" w:eastAsia="Fz_S_BiaoSong_Jt"/>
          <w:b w:val="0"/>
          <w:sz w:val="48"/>
          <w:szCs w:val="48"/>
        </w:rPr>
        <w:t>2024年度部门决算</w:t>
      </w:r>
    </w:p>
    <w:p>
      <w:pPr>
        <w:spacing w:line="600" w:lineRule="auto"/>
        <w:jc w:val="both"/>
        <w:rPr>
          <w:rFonts w:hint="eastAsia" w:asciiTheme="minorEastAsia" w:hAnsiTheme="minorEastAsia" w:eastAsiaTheme="minorEastAsia" w:cstheme="minorEastAsia"/>
          <w:b w:val="0"/>
          <w:bCs w:val="0"/>
          <w:color w:val="000000"/>
          <w:sz w:val="22"/>
          <w:szCs w:val="22"/>
        </w:rPr>
      </w:pPr>
    </w:p>
    <w:p>
      <w:pPr>
        <w:spacing w:line="600" w:lineRule="auto"/>
        <w:jc w:val="both"/>
        <w:rPr>
          <w:rFonts w:hint="eastAsia" w:asciiTheme="minorEastAsia" w:hAnsiTheme="minorEastAsia" w:eastAsiaTheme="minorEastAsia" w:cstheme="minorEastAsia"/>
          <w:b w:val="0"/>
          <w:bCs w:val="0"/>
          <w:color w:val="000000"/>
          <w:sz w:val="22"/>
          <w:szCs w:val="22"/>
        </w:rPr>
      </w:pPr>
    </w:p>
    <w:p>
      <w:pPr>
        <w:spacing w:line="600" w:lineRule="auto"/>
        <w:jc w:val="both"/>
        <w:rPr>
          <w:rFonts w:hint="eastAsia" w:asciiTheme="minorEastAsia" w:hAnsiTheme="minorEastAsia" w:eastAsiaTheme="minorEastAsia" w:cstheme="minorEastAsia"/>
          <w:b w:val="0"/>
          <w:bCs w:val="0"/>
          <w:color w:val="000000"/>
          <w:sz w:val="22"/>
          <w:szCs w:val="22"/>
        </w:rPr>
      </w:pPr>
    </w:p>
    <w:p>
      <w:pP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br w:type="page"/>
      </w:r>
    </w:p>
    <w:p>
      <w:pPr>
        <w:widowControl/>
        <w:spacing w:before="0" w:beforeLines="0" w:beforeAutospacing="0" w:after="0" w:afterLines="0" w:afterAutospacing="0" w:line="240" w:lineRule="auto"/>
        <w:jc w:val="center"/>
        <w:outlineLvl w:val="0"/>
        <w:rPr>
          <w:rFonts w:ascii="宋体" w:eastAsia="黑体"/>
          <w:sz w:val="44"/>
          <w:szCs w:val="44"/>
        </w:rPr>
      </w:pPr>
      <w:r>
        <w:rPr>
          <w:rFonts w:ascii="宋体" w:eastAsia="黑体"/>
          <w:b w:val="0"/>
          <w:sz w:val="44"/>
          <w:szCs w:val="44"/>
        </w:rPr>
        <w:t>目  录</w:t>
      </w:r>
    </w:p>
    <w:p>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第一部分   概况</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一、主要职责</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二、机构设置</w:t>
      </w:r>
    </w:p>
    <w:p>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第二部分   2024年度部门决算报表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一、收入支出决算总表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二、收入决算表（按功能分类列示）</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三、收入决算表（按单位列示）</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四、支出决算表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五、财政拨款收入支出决算总表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六、一般公共预算财政拨款支出决算表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七、一般公共预算财政拨款基本支出决算明细表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八、政府性基金预算财政拨款收入支出决算表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九、国有资本经营预算财政拨款支出决算表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十、财政拨款“三公”经费支出决算表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十一、项目支出决算表</w:t>
      </w:r>
    </w:p>
    <w:p>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第三部分   2024年度部门决算情况说明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一、收支决算总体情况说明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二、收入决算情况说明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三、支出决算情况说明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四、财政拨款收支决算总体情况说明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五、一般公共预算财政拨款支出决算情况说明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六、一般公共预算财政拨款基本支出决算情况说明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七、政府性基金预算财政拨款收支决算情况说明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八、国有资本经营预算财政拨款收支决算情况说明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九、财政拨款“三公”经费支出决算情况说明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十、机关运行经费支出情况说明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十一、政府采购支出情况说明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十二、国有资产占有使用情况说明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十三、预算绩效情况说明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十四、教育、医疗卫生、社会保障和就业、住房保障、涉农补贴等民生支出情况说明</w:t>
      </w:r>
    </w:p>
    <w:p>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第四部分   名词解释</w:t>
      </w:r>
    </w:p>
    <w:p>
      <w:pPr>
        <w:rPr>
          <w:rFonts w:hint="eastAsia" w:asciiTheme="minorEastAsia" w:hAnsiTheme="minorEastAsia" w:eastAsiaTheme="minorEastAsia" w:cstheme="minorEastAsia"/>
          <w:b w:val="0"/>
          <w:bCs w:val="0"/>
          <w:sz w:val="22"/>
          <w:szCs w:val="22"/>
          <w:highlight w:val="yellow"/>
        </w:rPr>
      </w:pPr>
    </w:p>
    <w:p>
      <w:pPr>
        <w:snapToGrid w:val="0"/>
        <w:jc w:val="left"/>
        <w:rPr>
          <w:rFonts w:hint="eastAsia" w:asciiTheme="minorEastAsia" w:hAnsiTheme="minorEastAsia" w:eastAsiaTheme="minorEastAsia" w:cstheme="minorEastAsia"/>
          <w:b w:val="0"/>
          <w:bCs w:val="0"/>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pPr>
        <w:snapToGrid w:val="0"/>
        <w:jc w:val="left"/>
        <w:rPr>
          <w:rFonts w:hint="eastAsia" w:asciiTheme="minorEastAsia" w:hAnsiTheme="minorEastAsia" w:eastAsiaTheme="minorEastAsia" w:cstheme="minorEastAsia"/>
          <w:b w:val="0"/>
          <w:bCs w:val="0"/>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footerReference r:id="rId3" w:type="default"/>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pPr>
        <w:widowControl/>
        <w:spacing w:before="0" w:beforeLines="0" w:beforeAutospacing="0" w:after="0" w:afterLines="0" w:afterAutospacing="0" w:line="240" w:lineRule="auto"/>
        <w:jc w:val="center"/>
        <w:outlineLvl w:val="0"/>
        <w:rPr>
          <w:rFonts w:ascii="黑体" w:eastAsia="黑体"/>
          <w:sz w:val="44"/>
          <w:szCs w:val="44"/>
        </w:rPr>
      </w:pPr>
      <w:r>
        <w:rPr>
          <w:rFonts w:ascii="黑体" w:eastAsia="黑体"/>
          <w:b w:val="0"/>
          <w:sz w:val="44"/>
          <w:szCs w:val="44"/>
        </w:rPr>
        <w:t>第一部分  概况</w:t>
      </w:r>
    </w:p>
    <w:p>
      <w:pPr>
        <w:widowControl/>
        <w:spacing w:before="0" w:beforeLines="0" w:beforeAutospacing="0" w:after="0" w:afterLines="0" w:afterAutospacing="0" w:line="240" w:lineRule="auto"/>
        <w:ind w:firstLine="600" w:firstLineChars="200"/>
        <w:jc w:val="left"/>
        <w:outlineLvl w:val="1"/>
        <w:rPr>
          <w:rFonts w:ascii="宋体" w:eastAsia="黑体"/>
          <w:sz w:val="30"/>
          <w:szCs w:val="30"/>
        </w:rPr>
      </w:pPr>
      <w:r>
        <w:rPr>
          <w:rFonts w:ascii="宋体" w:eastAsia="黑体"/>
          <w:b w:val="0"/>
          <w:sz w:val="30"/>
          <w:szCs w:val="30"/>
        </w:rPr>
        <w:t>一、主要职责</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贯彻执行国家和本市有关“三农”工作的法律、法规、规章和方针政策。拟订相关规范性文件草案和政策文件，统筹研究本区“三农”工作的发展战略、中长期规划、重大政策，并组织实施。指导农业综合执法。</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2.统筹推动发展农村社会事业、农村公共服务、农村文化、农村基础设施和乡村治理。牵头组织改善农村人居环境。指导农村精神文明和优秀农耕文化建设。</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3.研究提出深化农村经济体制改革和巩固完善农村基本经营制度的建议，指导农村土地承包合同管理、土地承包经营权流转和承包合同纠纷调解仲裁工作。参与推动农村集体产权制度改革，指导农村集体经济组织发展和集体资产管理工作。指导、扶持农民合作经济组织、农业社会化服务体系、新型农业经营主体建设与发展。</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4.参与研究制定农村服务业发展规划和布局规划，提出促进农村服务业发展的建议，指导推动乡村特色产业、农产品加工业、休闲农业发展工作。提出促进大宗农产品流通的建议，培育、保护农业品牌。管理发布农业农村经济信息，监测分析农业农村经济运行。承担农业统计和农业农</w:t>
      </w:r>
      <w:bookmarkStart w:id="0" w:name="_GoBack"/>
      <w:bookmarkEnd w:id="0"/>
      <w:r>
        <w:rPr>
          <w:rFonts w:ascii="Times New Roman" w:eastAsia="仿宋_GB2312"/>
          <w:b w:val="0"/>
          <w:sz w:val="30"/>
          <w:szCs w:val="30"/>
        </w:rPr>
        <w:t>村信息化有关工作。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5.负责种植业、畜牧业、渔业、农业机械化等农业各产业的监督管理。指导粮食等农产品生产。组织构建现代农业产业体系、生产体系、经营体系，指导农业标准化生产。负责渔政监督管理。指导农业机械化发展和农机安全监理。</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6.负责农产品质量安全监督管理。组织开展农产品质量安全监测、追溯、风险评估、会同有关部门实施农产品质量安全国家标准。指导农业检验监测体系建设。</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7.组织农业资源区划工作。指导渔业水域以及农业生物物种资源的保护与管理，参与农用地管理。负责水生野生动植物保护、耕地及永久基本农田质量提升工作。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8.负责有关农业生产资料和农业投入的监督管理。</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9.负责农业防灾减灾、农作物重大病虫害防治工作。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10.负责农业投资管理。</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11.推动落实农业科技体制改革和农业科技创新体系建设。</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12.指导农业农村人才工作。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13.指导村集体经济组织规范开展财务公开和民主管理工作，确保集体经济组织成员享有知情权、决策权、参与权和监督权。</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14.负责林业资源的培育、保护和管理。</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15.组织林木种子、草种种质资源普查，负责良种选育推广，管理林木苗种、草种生产经营行为，监督管理林木种苗、草种质量。</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16.牵头开展农业对外合作工作。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17.负责本领域的安全生产监督管理工作。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18.承办区委、区政府交办的其他事项。</w:t>
      </w:r>
    </w:p>
    <w:p>
      <w:pPr>
        <w:widowControl/>
        <w:spacing w:before="0" w:beforeLines="0" w:beforeAutospacing="0" w:after="0" w:afterLines="0" w:afterAutospacing="0" w:line="240" w:lineRule="auto"/>
        <w:ind w:firstLine="600" w:firstLineChars="200"/>
        <w:jc w:val="left"/>
        <w:outlineLvl w:val="1"/>
        <w:rPr>
          <w:rFonts w:ascii="宋体" w:eastAsia="黑体"/>
          <w:sz w:val="30"/>
          <w:szCs w:val="30"/>
        </w:rPr>
      </w:pPr>
      <w:r>
        <w:rPr>
          <w:rFonts w:ascii="宋体" w:eastAsia="黑体"/>
          <w:b w:val="0"/>
          <w:sz w:val="30"/>
          <w:szCs w:val="30"/>
        </w:rPr>
        <w:t>二、机构设置</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天津市东丽区农业农村委员会内设19个职能部门；下辖5个预算单位。纳入天津市东丽区农业农村委员会2024年度部门决算编制范围的单位包括：</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1.​天津市东丽区农业农村委员会（本级）</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2.​天津市东丽区农业农村发展服务中心</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3.​天津市东丽区华明现代设施农业产业园区服务中心</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4.​天津市东丽区农业机械化技术学校</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5.​天津市农业广播电视学校东丽区分校</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6.​天津市东丽区农业综合行政执法支队</w:t>
      </w:r>
    </w:p>
    <w:p>
      <w:pPr>
        <w:rPr>
          <w:rFonts w:hint="eastAsia" w:asciiTheme="minorEastAsia" w:hAnsiTheme="minorEastAsia" w:eastAsiaTheme="minorEastAsia" w:cstheme="minorEastAsia"/>
          <w:b w:val="0"/>
          <w:bCs w:val="0"/>
          <w:i w:val="0"/>
          <w:iCs w:val="0"/>
          <w:caps w:val="0"/>
          <w:color w:val="000000"/>
          <w:spacing w:val="0"/>
          <w:sz w:val="22"/>
          <w:szCs w:val="22"/>
          <w:highlight w:val="none"/>
          <w:shd w:val="clear" w:fill="FFFFFF"/>
          <w:lang w:val="en-US" w:eastAsia="zh-CN"/>
        </w:rPr>
        <w:sectPr>
          <w:headerReference r:id="rId4" w:type="default"/>
          <w:footerReference r:id="rId5" w:type="default"/>
          <w:pgSz w:w="11906" w:h="16838"/>
          <w:pgMar w:top="1531" w:right="1984" w:bottom="1531" w:left="2098"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widowControl/>
        <w:spacing w:before="0" w:beforeLines="0" w:beforeAutospacing="0" w:after="0" w:afterLines="0" w:afterAutospacing="0" w:line="240" w:lineRule="auto"/>
        <w:jc w:val="center"/>
        <w:outlineLvl w:val="0"/>
        <w:rPr>
          <w:rFonts w:ascii="黑体" w:eastAsia="黑体"/>
          <w:sz w:val="44"/>
          <w:szCs w:val="44"/>
        </w:rPr>
      </w:pPr>
      <w:r>
        <w:rPr>
          <w:rFonts w:ascii="黑体" w:eastAsia="黑体"/>
          <w:b w:val="0"/>
          <w:sz w:val="44"/>
          <w:szCs w:val="44"/>
        </w:rPr>
        <w:t>第二部分  2024年度部门决算报表</w:t>
      </w:r>
    </w:p>
    <w:p>
      <w:pPr>
        <w:pStyle w:val="28"/>
        <w:keepNext w:val="0"/>
        <w:keepLines w:val="0"/>
        <w:widowControl/>
        <w:suppressLineNumbers w:val="0"/>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rPr>
        <w:t>一、收入支出决算总表</w:t>
      </w:r>
      <w:r>
        <w:rPr>
          <w:rFonts w:hint="eastAsia" w:ascii="仿宋" w:hAnsi="仿宋" w:eastAsia="仿宋" w:cs="仿宋"/>
          <w:b/>
          <w:bCs/>
          <w:sz w:val="30"/>
          <w:szCs w:val="30"/>
          <w:highlight w:val="none"/>
          <w:u w:val="none"/>
          <w:lang w:val="en-US" w:eastAsia="zh-CN"/>
        </w:rPr>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97"/>
        <w:gridCol w:w="2650"/>
        <w:gridCol w:w="3598"/>
        <w:gridCol w:w="30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 </w:t>
            </w:r>
          </w:p>
        </w:tc>
        <w:tc>
          <w:tcPr>
            <w:tcW w:w="108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Style w:val="27"/>
                <w:rFonts w:hint="eastAsia" w:asciiTheme="minorEastAsia" w:hAnsiTheme="minorEastAsia" w:eastAsiaTheme="minorEastAsia" w:cstheme="minorEastAsia"/>
                <w:b w:val="0"/>
                <w:bCs w:val="0"/>
                <w:sz w:val="22"/>
                <w:szCs w:val="22"/>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233,590,242.96</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124,891,912.84</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二、公共安全支出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三、教育支出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四、科学技术支出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五、事业收入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2,938,116.72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七、上级补助收入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七、卫生健康支出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1,455,889.99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八、节能环保支出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九、其他收入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105,864.61</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九、城乡社区支出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十、农林水支出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214,999,744.18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十四、金融支出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二十一、其他支出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本年收入合计</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358,588,020.41</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391,667,370.71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二十四、结余分配</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8,189.79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64,498,982.16</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31,411,442.07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64,452,495.89</w:t>
            </w:r>
          </w:p>
        </w:tc>
        <w:tc>
          <w:tcPr>
            <w:tcW w:w="128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46,486.27</w:t>
            </w:r>
          </w:p>
        </w:tc>
        <w:tc>
          <w:tcPr>
            <w:tcW w:w="128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收入总计</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423,087,002.57</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支出总计</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423,087,002.57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注：本表反映本年度的总收支和年末结转结余情况。财政专户管理资金是指教育收费；事业收入不含教育收费。</w:t>
            </w:r>
          </w:p>
        </w:tc>
      </w:tr>
    </w:tbl>
    <w:p>
      <w:pPr>
        <w:rPr>
          <w:rFonts w:hint="eastAsia" w:asciiTheme="minorEastAsia" w:hAnsiTheme="minorEastAsia" w:eastAsiaTheme="minorEastAsia" w:cstheme="minorEastAsia"/>
          <w:b w:val="0"/>
          <w:bCs w:val="0"/>
          <w:sz w:val="22"/>
          <w:szCs w:val="22"/>
          <w:lang w:val="en-US" w:eastAsia="zh-CN"/>
        </w:rPr>
      </w:pPr>
      <w:r>
        <w:rPr>
          <w:rFonts w:hint="eastAsia" w:asciiTheme="minorEastAsia" w:hAnsiTheme="minorEastAsia" w:eastAsiaTheme="minorEastAsia" w:cstheme="minorEastAsia"/>
          <w:b w:val="0"/>
          <w:bCs w:val="0"/>
          <w:sz w:val="22"/>
          <w:szCs w:val="22"/>
          <w:highlight w:val="none"/>
          <w:u w:val="none"/>
          <w:lang w:val="en-US" w:eastAsia="zh-CN"/>
        </w:rPr>
        <w:br w:type="page"/>
      </w:r>
    </w:p>
    <w:p>
      <w:pPr>
        <w:pStyle w:val="28"/>
        <w:keepNext w:val="0"/>
        <w:keepLines w:val="0"/>
        <w:widowControl/>
        <w:suppressLineNumbers w:val="0"/>
        <w:jc w:val="left"/>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二、收入决算表(按功能分类列示)</w:t>
      </w:r>
      <w:r>
        <w:rPr>
          <w:rFonts w:hint="eastAsia" w:ascii="仿宋" w:hAnsi="仿宋" w:eastAsia="仿宋" w:cs="仿宋"/>
          <w:b/>
          <w:bCs/>
          <w:color w:val="000000"/>
          <w:sz w:val="30"/>
          <w:szCs w:val="30"/>
        </w:rPr>
        <w:t xml:space="preserve">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4"/>
        <w:gridCol w:w="3031"/>
        <w:gridCol w:w="1263"/>
        <w:gridCol w:w="1137"/>
        <w:gridCol w:w="1231"/>
        <w:gridCol w:w="1108"/>
        <w:gridCol w:w="1183"/>
        <w:gridCol w:w="1154"/>
        <w:gridCol w:w="1246"/>
        <w:gridCol w:w="1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559" w:type="pct"/>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 </w:t>
            </w:r>
          </w:p>
        </w:tc>
        <w:tc>
          <w:tcPr>
            <w:tcW w:w="440"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项      目</w:t>
            </w:r>
          </w:p>
        </w:tc>
        <w:tc>
          <w:tcPr>
            <w:tcW w:w="450"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本年收入合计</w:t>
            </w:r>
          </w:p>
        </w:tc>
        <w:tc>
          <w:tcPr>
            <w:tcW w:w="406"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财政拨款收入</w:t>
            </w:r>
          </w:p>
        </w:tc>
        <w:tc>
          <w:tcPr>
            <w:tcW w:w="439"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上级补助收入</w:t>
            </w:r>
          </w:p>
        </w:tc>
        <w:tc>
          <w:tcPr>
            <w:tcW w:w="819" w:type="pct"/>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事业收入</w:t>
            </w:r>
          </w:p>
        </w:tc>
        <w:tc>
          <w:tcPr>
            <w:tcW w:w="412"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经营收入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附属单位上缴收入</w:t>
            </w:r>
          </w:p>
        </w:tc>
        <w:tc>
          <w:tcPr>
            <w:tcW w:w="440"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科目编码</w:t>
            </w:r>
          </w:p>
        </w:tc>
        <w:tc>
          <w:tcPr>
            <w:tcW w:w="10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科目名称</w:t>
            </w:r>
          </w:p>
        </w:tc>
        <w:tc>
          <w:tcPr>
            <w:tcW w:w="450"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0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3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小计</w:t>
            </w:r>
          </w:p>
        </w:tc>
        <w:tc>
          <w:tcPr>
            <w:tcW w:w="42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其中：教育收费</w:t>
            </w:r>
          </w:p>
        </w:tc>
        <w:tc>
          <w:tcPr>
            <w:tcW w:w="41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584" w:type="pct"/>
            <w:gridSpan w:val="2"/>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合计</w:t>
            </w:r>
          </w:p>
        </w:tc>
        <w:tc>
          <w:tcPr>
            <w:tcW w:w="450"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358,588,020.41</w:t>
            </w:r>
          </w:p>
        </w:tc>
        <w:tc>
          <w:tcPr>
            <w:tcW w:w="406"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358,482,155.80</w:t>
            </w:r>
          </w:p>
        </w:tc>
        <w:tc>
          <w:tcPr>
            <w:tcW w:w="439"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105,864.61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社会保障和就业支出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2,938,116.72</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2,938,116.72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行政事业单位养老支出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2,938,116.72</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2,938,116.72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机关事业单位基本养老保险缴费支出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1,958,744.48</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1,958,744.48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2080506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机关事业单位职业年金缴费支出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979,372.24</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979,372.24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卫生健康支出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1,456,019.99</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1,456,019.99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行政事业单位医疗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1,456,019.99</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1,456,019.99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254,445.41</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254,445.41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事业单位医疗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1,150,685.72</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1,150,685.72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公务员医疗补助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50,888.86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50,888.86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节能环保支出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14,188,544.00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14,188,544.00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21103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污染防治</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14,188,544.00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14,188,544.00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2110302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水体</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14,154,444.00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14,154,444.00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2110307</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土壤</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34,100.00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34,100.00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城乡社区支出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3,272,205.80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3,272,205.80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21208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国有土地使用权出让收入安排的支出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3,272,205.80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3,272,205.80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2120814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农业生产发展支出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640,000.00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640,000.00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2120816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农业农村生态环境支出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2,632,205.80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2,632,205.80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农林水支出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215,113,426.86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215,007,562.25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105,864.61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农业农村</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95,745,217.06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95,639,352.45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105,864.61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行政运行</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6,346,373.21</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6,248,698.39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97,674.82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2130104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事业运行</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21,050,036.58</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21,041,846.79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8,189.79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2130106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科技转化与推广服务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270,000.00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270,000.00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2130108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病虫害控制</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573,590.00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573,590.00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2130109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农产品质量安全</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1,679,853.50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1,679,853.50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2130120</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稳定农民收入补贴</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8,533,300.90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8,533,300.90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2130122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农业生产发展</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1,008,512.87</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1,008,512.87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2130124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农村合作经济</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2130135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农业生态资源保护</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2,003,850.00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2,003,850.00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2130148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渔业发展</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7,109,700.00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7,109,700.00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2130153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耕地建设与利用</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46,720,000.00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46,720,000.00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林业和草原</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115,661,849.00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115,661,849.00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2130234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林业草原防灾减灾</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412,149.00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412,149.00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2130237</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行业业务管理</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115,249,700.00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115,249,700.00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巩固</w:t>
            </w:r>
            <w:r>
              <w:rPr>
                <w:rFonts w:hint="eastAsia" w:asciiTheme="minorEastAsia" w:hAnsiTheme="minorEastAsia" w:cstheme="minorEastAsia"/>
                <w:b w:val="0"/>
                <w:bCs w:val="0"/>
                <w:i w:val="0"/>
                <w:iCs w:val="0"/>
                <w:color w:val="000000"/>
                <w:kern w:val="0"/>
                <w:sz w:val="15"/>
                <w:szCs w:val="15"/>
                <w:u w:val="none"/>
                <w:lang w:val="en-US" w:eastAsia="zh-CN" w:bidi="ar"/>
              </w:rPr>
              <w:t>拓展</w:t>
            </w: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脱贫攻坚成果衔接乡村振兴</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2130505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生产发展</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21307</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农村综合改革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2130701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对村级公益事业建设的补助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普惠金融发展支出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106,360.80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106,360.80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2130803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农业保险保费补贴</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106,360.80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106,360.80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资源勘探工业信息等支出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21598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超长期特别国债安排的支出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2159802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制造业</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22904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其他政府性基金及对应专项债务收入安排的支出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2290402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其他地方自行试点项目收益专项债券收入安排的支出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注：本表反映本年度取得的各项收入情况。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三、收入决算表(按单位列示)</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6"/>
        <w:gridCol w:w="853"/>
        <w:gridCol w:w="573"/>
        <w:gridCol w:w="627"/>
        <w:gridCol w:w="627"/>
        <w:gridCol w:w="600"/>
        <w:gridCol w:w="640"/>
        <w:gridCol w:w="666"/>
        <w:gridCol w:w="654"/>
        <w:gridCol w:w="671"/>
        <w:gridCol w:w="723"/>
        <w:gridCol w:w="723"/>
        <w:gridCol w:w="661"/>
        <w:gridCol w:w="708"/>
        <w:gridCol w:w="662"/>
        <w:gridCol w:w="753"/>
        <w:gridCol w:w="739"/>
        <w:gridCol w:w="708"/>
        <w:gridCol w:w="630"/>
        <w:gridCol w:w="619"/>
        <w:gridCol w:w="6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056" w:type="pct"/>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 xml:space="preserve">部门（单位）：天津市东丽区农业农村委员会 </w:t>
            </w:r>
          </w:p>
        </w:tc>
        <w:tc>
          <w:tcPr>
            <w:tcW w:w="239"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58"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58"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36"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53"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36"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69"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64"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53"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25"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449" w:type="pct"/>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部门（单位）代码</w:t>
            </w:r>
          </w:p>
        </w:tc>
        <w:tc>
          <w:tcPr>
            <w:tcW w:w="304" w:type="pct"/>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部门（单位）名称</w:t>
            </w:r>
          </w:p>
        </w:tc>
        <w:tc>
          <w:tcPr>
            <w:tcW w:w="204" w:type="pct"/>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合计</w:t>
            </w:r>
          </w:p>
        </w:tc>
        <w:tc>
          <w:tcPr>
            <w:tcW w:w="2355" w:type="pct"/>
            <w:gridSpan w:val="10"/>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本年收入</w:t>
            </w:r>
          </w:p>
        </w:tc>
        <w:tc>
          <w:tcPr>
            <w:tcW w:w="1950" w:type="pct"/>
            <w:gridSpan w:val="8"/>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上年结转和结余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304"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04"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24"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24"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一般公共预算</w:t>
            </w:r>
          </w:p>
        </w:tc>
        <w:tc>
          <w:tcPr>
            <w:tcW w:w="214"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政府性基金预算</w:t>
            </w:r>
          </w:p>
        </w:tc>
        <w:tc>
          <w:tcPr>
            <w:tcW w:w="228"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国有资本经营预算算</w:t>
            </w:r>
          </w:p>
        </w:tc>
        <w:tc>
          <w:tcPr>
            <w:tcW w:w="237"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财政专户管理资金</w:t>
            </w:r>
          </w:p>
        </w:tc>
        <w:tc>
          <w:tcPr>
            <w:tcW w:w="233"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事业收入</w:t>
            </w:r>
          </w:p>
        </w:tc>
        <w:tc>
          <w:tcPr>
            <w:tcW w:w="239"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事业单位经营收入</w:t>
            </w:r>
          </w:p>
        </w:tc>
        <w:tc>
          <w:tcPr>
            <w:tcW w:w="258"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上级补助收入</w:t>
            </w:r>
          </w:p>
        </w:tc>
        <w:tc>
          <w:tcPr>
            <w:tcW w:w="258"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附属单位上缴收入</w:t>
            </w:r>
          </w:p>
        </w:tc>
        <w:tc>
          <w:tcPr>
            <w:tcW w:w="236"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其他收入</w:t>
            </w:r>
          </w:p>
        </w:tc>
        <w:tc>
          <w:tcPr>
            <w:tcW w:w="253"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1022" w:type="pct"/>
            <w:gridSpan w:val="4"/>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财政拨款结转结余</w:t>
            </w:r>
          </w:p>
        </w:tc>
        <w:tc>
          <w:tcPr>
            <w:tcW w:w="674" w:type="pct"/>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非财政拨款结转结余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304"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04"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24"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24"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14"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69"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一般公共预算</w:t>
            </w:r>
          </w:p>
        </w:tc>
        <w:tc>
          <w:tcPr>
            <w:tcW w:w="264"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政府性基金预算</w:t>
            </w:r>
          </w:p>
        </w:tc>
        <w:tc>
          <w:tcPr>
            <w:tcW w:w="253"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国有资本经营预算</w:t>
            </w:r>
          </w:p>
        </w:tc>
        <w:tc>
          <w:tcPr>
            <w:tcW w:w="225"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21"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财政专户管理资金</w:t>
            </w:r>
          </w:p>
        </w:tc>
        <w:tc>
          <w:tcPr>
            <w:tcW w:w="228"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单位资金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9" w:type="pct"/>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合计</w:t>
            </w:r>
          </w:p>
        </w:tc>
        <w:tc>
          <w:tcPr>
            <w:tcW w:w="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423,087,002.57</w:t>
            </w:r>
          </w:p>
        </w:tc>
        <w:tc>
          <w:tcPr>
            <w:tcW w:w="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358,588,020.41</w:t>
            </w:r>
          </w:p>
        </w:tc>
        <w:tc>
          <w:tcPr>
            <w:tcW w:w="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233,590,242.96</w:t>
            </w:r>
          </w:p>
        </w:tc>
        <w:tc>
          <w:tcPr>
            <w:tcW w:w="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124,891,912.84</w:t>
            </w:r>
          </w:p>
        </w:tc>
        <w:tc>
          <w:tcPr>
            <w:tcW w:w="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6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7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7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6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105,864.61</w:t>
            </w:r>
          </w:p>
        </w:tc>
        <w:tc>
          <w:tcPr>
            <w:tcW w:w="7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64,498,982.16</w:t>
            </w:r>
          </w:p>
        </w:tc>
        <w:tc>
          <w:tcPr>
            <w:tcW w:w="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64,452,495.89</w:t>
            </w:r>
          </w:p>
        </w:tc>
        <w:tc>
          <w:tcPr>
            <w:tcW w:w="7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350,697.26</w:t>
            </w:r>
          </w:p>
        </w:tc>
        <w:tc>
          <w:tcPr>
            <w:tcW w:w="73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64,101,798.63</w:t>
            </w:r>
          </w:p>
        </w:tc>
        <w:tc>
          <w:tcPr>
            <w:tcW w:w="7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46,486.27</w:t>
            </w:r>
          </w:p>
        </w:tc>
        <w:tc>
          <w:tcPr>
            <w:tcW w:w="2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46,486.27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328101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天津市东丽区农业农村委员会（本级）</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387,351,345.06</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322,942,554.41</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199,865,172.55</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122,979,707.04</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97,674.82</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64,408,790.65</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64,362,304.38</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260,505.75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64,101,798.63</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46,486.27</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46,486.27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328201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天津市东丽区农业农村发展服务中心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25,493,372.34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25,493,372.34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23,573,536.78</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1,912,205.80</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7,629.76</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328202</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天津市东丽区华明现代设施农业产业园区服务中心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861,575.67</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803,744.97</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803,516.20</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228.77</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57,830.70</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57,830.70</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57,830.70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328203</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天津市东丽区农业机械化技术学校</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1,636,586.04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1,633,610.70</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1,633,575.92</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34.78</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2,975.34</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2,975.34</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2,975.34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328204</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天津市农业广播电视学校东丽区分校</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520,270.02</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510,113.33</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510,089.45</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23.88</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10,156.69</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10,156.69</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10,156.69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328901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天津市东丽区农业综合行政执法支队</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7,223,853.44</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7,204,624.66</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7,204,352.06</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272.60</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19,228.78</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19,228.78</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19,228.78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2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注：本表反映本年度取得的各项收入情况。财政专户管理资金是指教育收费；事业收入不含教育收费。</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四、支出决算表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3"/>
        <w:gridCol w:w="2220"/>
        <w:gridCol w:w="1845"/>
        <w:gridCol w:w="1800"/>
        <w:gridCol w:w="1800"/>
        <w:gridCol w:w="1815"/>
        <w:gridCol w:w="1628"/>
        <w:gridCol w:w="15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 </w:t>
            </w:r>
          </w:p>
        </w:tc>
        <w:tc>
          <w:tcPr>
            <w:tcW w:w="56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793"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391,667,370.71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30,594,065.32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361,073,305.39</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2,938,116.72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2,938,116.72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2,938,116.72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2,938,116.72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1,958,744.48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1,958,744.48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2080506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979,372.24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979,372.24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1,455,889.99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1,455,889.99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1,455,889.99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1,455,889.99</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254,445.41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254,445.41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1,150,555.72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1,150,555.72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公务员医疗补助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50,888.86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50,888.86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节能环保支出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污染防治</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水体</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2110307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土壤</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34,100.00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34,100.00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城乡社区支出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国有土地使用权出让收入安排的支出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农业生产发展支出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农业农村生态环境支出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2,632,205.80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2,632,205.80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农林水支出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214,999,744.18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26,200,058.61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188,799,685.57</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95,631,534.38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26,200,058.61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69,431,475.77</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行政运行</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6,239,758.86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5,626,912.86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612,846.00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事业运行</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21,042,968.25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20,573,145.75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469,822.50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科技转化与推广服务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270,000.00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270,000.00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病虫害控制</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573,590.00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573,590.00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农产品质量安全</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1,679,853.50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1,679,853.50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稳定农民收入补贴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8,533,300.90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8,533,300.90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农业生产发展</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1,008,512.87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1,008,512.87</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农村合作经济</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2130135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农业生态资源保护</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2,003,850.00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2,003,850.00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2130148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渔业发展</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7,109,700.00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7,109,700.00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2130153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耕地建设与利用</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林业和草原</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115,661,849.00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115,661,849.00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林业草原防灾减灾</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412,149.00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412,149.00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行业业务管理</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巩固</w:t>
            </w:r>
            <w:r>
              <w:rPr>
                <w:rFonts w:hint="eastAsia" w:asciiTheme="minorEastAsia" w:hAnsiTheme="minorEastAsia" w:cstheme="minorEastAsia"/>
                <w:b w:val="0"/>
                <w:bCs w:val="0"/>
                <w:i w:val="0"/>
                <w:iCs w:val="0"/>
                <w:color w:val="000000"/>
                <w:kern w:val="0"/>
                <w:sz w:val="22"/>
                <w:szCs w:val="22"/>
                <w:u w:val="none"/>
                <w:lang w:val="en-US" w:eastAsia="zh-CN" w:bidi="ar"/>
              </w:rPr>
              <w:t>拓展</w:t>
            </w: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脱贫攻坚成果衔接乡村振兴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生产发展</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农村综合改革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对村级公益事业建设的补助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普惠金融发展支出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农业保险保费补贴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资源勘探工业信息等支出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超长期特别国债安排的支出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制造业</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其他政府性基金及对应专项债务收入安排的支出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其他地方自行试点项目收益专项债券收入安排的支出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注：本表反映本年度各项支出情况。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五、财政拨款收入支出决算总表</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7"/>
        <w:gridCol w:w="1883"/>
        <w:gridCol w:w="2350"/>
        <w:gridCol w:w="1850"/>
        <w:gridCol w:w="1791"/>
        <w:gridCol w:w="1827"/>
        <w:gridCol w:w="19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 </w:t>
            </w:r>
          </w:p>
        </w:tc>
        <w:tc>
          <w:tcPr>
            <w:tcW w:w="705"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233,590,242.96</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124,891,912.84</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二、公共安全支出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三、教育支出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四、科学技术支出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2,938,116.72</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2,938,116.72</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七、卫生健康支出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1,455,889.99</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1,455,889.99</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八、节能环保支出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九、城乡社区支出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十、农林水支出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214,999,744.18</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214,999,744.18</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十四、金融支出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二十一、其他支出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本年收入合计</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358,482,155.80</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391,667,370.71</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233,582,294.89</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158,085,075.82</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64,452,495.89</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31,267,280.98</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358,645.33</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30,908,635.65</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350,697.26</w:t>
            </w: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64,101,798.63</w:t>
            </w: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422,934,651.69</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422,934,651.69</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233,940,940.22</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188,993,711.47</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注：本表反映本年度一般公共预算财政拨款、政府性基金预算财政拨款和国有资本经营预算财政拨款的总收支和年末结转结余情况。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六、一般公共预算财政拨款支出决算表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3"/>
        <w:gridCol w:w="4523"/>
        <w:gridCol w:w="1754"/>
        <w:gridCol w:w="1600"/>
        <w:gridCol w:w="1630"/>
        <w:gridCol w:w="1600"/>
        <w:gridCol w:w="1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23" w:type="pct"/>
            <w:gridSpan w:val="6"/>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天津市东丽区农业农村委员会 </w:t>
            </w:r>
          </w:p>
        </w:tc>
        <w:tc>
          <w:tcPr>
            <w:tcW w:w="576"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626"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1725"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76"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5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616"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62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c>
          <w:tcPr>
            <w:tcW w:w="582"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人员经费</w:t>
            </w:r>
          </w:p>
        </w:tc>
        <w:tc>
          <w:tcPr>
            <w:tcW w:w="571"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公用经费</w:t>
            </w:r>
          </w:p>
        </w:tc>
        <w:tc>
          <w:tcPr>
            <w:tcW w:w="57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233,582,294.89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30,594,065.32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27,550,608.39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3,043,456.93</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202,988,229.57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社会保障和就业支出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2,938,116.72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2,938,116.72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2,938,116.72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行政事业单位养老支出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2,938,116.72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2,938,116.72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2,938,116.72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机关事业单位基本养老保险缴费支出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1,958,744.48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1,958,744.48</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1,958,744.48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2080506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机关事业单位职业年金缴费支出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979,372.24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979,372.24</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979,372.24</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卫生健康支出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1,455,889.99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1,455,889.99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1,455,889.99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1,455,889.99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1,455,889.99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1,455,889.99</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254,445.41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254,445.41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254,445.41</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事业单位医疗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1,150,555.72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1,150,555.72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1,150,555.72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公务员医疗补助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50,888.86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50,888.86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50,888.86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节能环保支出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14,188,544.00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14,188,544.00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21103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污染防治</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14,188,544.00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14,188,544.00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2110302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水体</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14,154,444.00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14,154,444.00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2110307</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土壤</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34,100.00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34,100.00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农林水支出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214,999,744.18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26,200,058.61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23,156,601.68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3,043,456.93</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188,799,685.57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农业农村</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95,631,534.38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26,200,058.61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23,156,601.68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3,043,456.93</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69,431,475.77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行政运行</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6,239,758.86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5,626,912.86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4,701,904.98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925,007.88</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612,846.00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2130104</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事业运行</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21,042,968.25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20,573,145.75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18,454,696.70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2,118,449.05</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469,822.50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2130106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科技转化与推广服务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270,000.00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270,000.00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2130108</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病虫害控制</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573,590.00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573,590.00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2130109</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农产品质量安全</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1,679,853.50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1,679,853.50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2130120</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稳定农民收入补贴</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8,533,300.90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8,533,300.90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2130122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农业生产发展</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1,008,512.87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1,008,512.87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2130124</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农村合作经济</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2130135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农业生态资源保护</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2,003,850.00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2,003,850.00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2130148</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渔业发展</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7,109,700.00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7,109,700.00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2130153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耕地建设与利用</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46,720,000.00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46,720,000.00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林业和草原</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115,661,849.00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115,661,849.00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2130234</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林业草原防灾减灾</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412,149.00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412,149.00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2130237</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行业业务管理</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115,249,700.00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115,249,700.00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巩固</w:t>
            </w:r>
            <w:r>
              <w:rPr>
                <w:rFonts w:hint="eastAsia" w:asciiTheme="minorEastAsia" w:hAnsiTheme="minorEastAsia" w:cstheme="minorEastAsia"/>
                <w:i w:val="0"/>
                <w:iCs w:val="0"/>
                <w:color w:val="000000"/>
                <w:kern w:val="0"/>
                <w:sz w:val="22"/>
                <w:szCs w:val="22"/>
                <w:u w:val="none"/>
                <w:lang w:val="en-US" w:eastAsia="zh-CN" w:bidi="ar"/>
              </w:rPr>
              <w:t>拓展</w:t>
            </w:r>
            <w:r>
              <w:rPr>
                <w:rFonts w:hint="eastAsia" w:asciiTheme="minorEastAsia" w:hAnsiTheme="minorEastAsia" w:eastAsiaTheme="minorEastAsia" w:cstheme="minorEastAsia"/>
                <w:i w:val="0"/>
                <w:iCs w:val="0"/>
                <w:color w:val="000000"/>
                <w:kern w:val="0"/>
                <w:sz w:val="22"/>
                <w:szCs w:val="22"/>
                <w:u w:val="none"/>
                <w:lang w:val="en-US" w:eastAsia="zh-CN" w:bidi="ar"/>
              </w:rPr>
              <w:t>脱贫攻坚成果衔接乡村振兴</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2130505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生产发展</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21307</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农村综合改革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3,000,000.00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2130701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对村级公益事业建设的补助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3,000,000.00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21308</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普惠金融发展支出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106,360.80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106,360.80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2130803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农业保险保费补贴</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106,360.80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106,360.80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注：本表反映本年度一般公共预算财政拨款支出情况。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七、一般公共预算财政拨款基本支出决算明细表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1869"/>
        <w:gridCol w:w="1884"/>
        <w:gridCol w:w="877"/>
        <w:gridCol w:w="1800"/>
        <w:gridCol w:w="1831"/>
        <w:gridCol w:w="1092"/>
        <w:gridCol w:w="1984"/>
        <w:gridCol w:w="1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 </w:t>
            </w:r>
          </w:p>
        </w:tc>
        <w:tc>
          <w:tcPr>
            <w:tcW w:w="6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工资福利支出</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26,126,888.17</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商品和服务支出</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3,043,456.93</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30703</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5,737,817.00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30201</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417,344.88</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30704</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30102</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3,447,764.40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30202</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资本性支出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30103</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841,919.00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30203</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31001</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30106</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30204</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5,817.84</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31002</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30107</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5,014,933.50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30205</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61,138.10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31003</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30108</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1,958,744.48</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30206</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198,900.00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31005</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30109</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979,372.24</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30207</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49,700.00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31006</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30110</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1,224,223.13</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30208</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137,038.82</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31007</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50,888.86</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30209</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328,176.00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31008</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30112</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72,976.56</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30211</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9,686.54</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30113</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6,688,417.00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30212</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31010</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30114</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83,436.00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30213</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24,600.00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31011</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30199</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26,396.00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30214</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163,440.00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31012</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1,423,720.22</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30215</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31013</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15,424.90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30216</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12,512.00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30302</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960,550.40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30217</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31021</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30303</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30218</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31022</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30304</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30224</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31099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30305</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37,777.00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30225</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对企业补助</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30306</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30226</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31201</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30307</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97,342.00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30227</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39,120.00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31203</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30308</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30228</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289,588.08</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31204</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30309</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375.00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30229</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291,916.00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31205</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30310</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30231</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59,223.08</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31206</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30311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30239</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173,000.00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31299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30399</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312,250.92</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30240</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177,588.59</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30299</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601,667.00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39907</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39908</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30701</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30702</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39910</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54"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39999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人员经费合计</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27,550,608.39</w:t>
            </w:r>
          </w:p>
        </w:tc>
        <w:tc>
          <w:tcPr>
            <w:tcW w:w="2710" w:type="pct"/>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公用经费合计</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3,043,456.93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注：本表反映本年度一般公共预算财政拨款基本支出明细情况。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八、政府性基金预算财政拨款收入支出决算表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1"/>
        <w:gridCol w:w="3139"/>
        <w:gridCol w:w="1630"/>
        <w:gridCol w:w="1600"/>
        <w:gridCol w:w="1585"/>
        <w:gridCol w:w="1569"/>
        <w:gridCol w:w="1539"/>
        <w:gridCol w:w="1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57"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天津市东丽区农业农村委员会 </w:t>
            </w:r>
          </w:p>
        </w:tc>
        <w:tc>
          <w:tcPr>
            <w:tcW w:w="54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582"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年初结转和结余</w:t>
            </w:r>
          </w:p>
        </w:tc>
        <w:tc>
          <w:tcPr>
            <w:tcW w:w="57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本年收入</w:t>
            </w:r>
          </w:p>
        </w:tc>
        <w:tc>
          <w:tcPr>
            <w:tcW w:w="1677"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本年支出</w:t>
            </w:r>
          </w:p>
        </w:tc>
        <w:tc>
          <w:tcPr>
            <w:tcW w:w="542"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121"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58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7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66"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c>
          <w:tcPr>
            <w:tcW w:w="560"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49"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c>
          <w:tcPr>
            <w:tcW w:w="54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6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64,101,798.63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124,891,912.84</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158,085,075.82</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158,085,075.82</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30,908,635.65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212</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3,272,205.80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3,272,205.80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3,272,205.80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21208</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国有土地使用权出让收入安排的支出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3,272,205.80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3,272,205.80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3,272,205.80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2120814</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农业生产发展支出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2120816</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农业农村生态环境支出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2,632,205.80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2,632,205.80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2,632,205.80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资源勘探工业信息等支出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21598</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超长期特别国债安排的支出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2159802</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制造业</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64,101,798.63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121,578,707.04</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30,908,635.65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22904</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其他政府性基金及对应专项债务收入安排的支出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64,101,798.63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121,578,707.04</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30,908,635.65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2290402</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其他地方自行试点项目收益专项债券收入安排的支出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64,101,798.63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121,578,707.04</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30,908,635.65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注：本表反映本年度政府性基金预算财政拨款收入、支出及结转和结余情况。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九、国有资本经营预算财政拨款支出决算表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4"/>
        <w:gridCol w:w="3261"/>
        <w:gridCol w:w="1692"/>
        <w:gridCol w:w="1677"/>
        <w:gridCol w:w="1493"/>
        <w:gridCol w:w="1538"/>
        <w:gridCol w:w="1662"/>
        <w:gridCol w:w="15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40"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天津市东丽区农业农村委员会 </w:t>
            </w:r>
          </w:p>
        </w:tc>
        <w:tc>
          <w:tcPr>
            <w:tcW w:w="559"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60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年初结转和结余</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本年收入</w:t>
            </w:r>
          </w:p>
        </w:tc>
        <w:tc>
          <w:tcPr>
            <w:tcW w:w="167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本年支出</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1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60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注：本表反映本年度国有资本经营预算财政拨款收入、支出及结转和结余情况。</w:t>
            </w:r>
          </w:p>
        </w:tc>
      </w:tr>
    </w:tbl>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天津市东丽区农业农村委员会2024年国有资本经营预算财政拨款收入支出决算表为空表。</w:t>
      </w:r>
    </w:p>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十、财政拨款“三公”经费支出决算表 </w:t>
      </w:r>
    </w:p>
    <w:tbl>
      <w:tblPr>
        <w:tblStyle w:val="11"/>
        <w:tblW w:w="1363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2108"/>
        <w:gridCol w:w="2400"/>
        <w:gridCol w:w="2385"/>
        <w:gridCol w:w="2430"/>
        <w:gridCol w:w="21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 </w:t>
            </w:r>
          </w:p>
        </w:tc>
        <w:tc>
          <w:tcPr>
            <w:tcW w:w="214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2400" w:type="dxa"/>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小计</w:t>
            </w:r>
          </w:p>
        </w:tc>
        <w:tc>
          <w:tcPr>
            <w:tcW w:w="2385" w:type="dxa"/>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公务用车购置费</w:t>
            </w:r>
          </w:p>
        </w:tc>
        <w:tc>
          <w:tcPr>
            <w:tcW w:w="2430" w:type="dxa"/>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59,223.08</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59,223.08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59,223.08</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注：本表反映本年度“三公”经费支出决算情况。其中决算数是包括当年财政拨款和以前年度结转资金安排的实际支出。</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十一、项目支出决算表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2816"/>
        <w:gridCol w:w="1769"/>
        <w:gridCol w:w="1631"/>
        <w:gridCol w:w="1692"/>
        <w:gridCol w:w="1646"/>
        <w:gridCol w:w="1693"/>
        <w:gridCol w:w="16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16"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 </w:t>
            </w:r>
          </w:p>
        </w:tc>
        <w:tc>
          <w:tcPr>
            <w:tcW w:w="58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1006"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3596" w:type="pct"/>
            <w:gridSpan w:val="6"/>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100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632"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  计</w:t>
            </w:r>
          </w:p>
        </w:tc>
        <w:tc>
          <w:tcPr>
            <w:tcW w:w="582"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一般公共预算</w:t>
            </w:r>
          </w:p>
        </w:tc>
        <w:tc>
          <w:tcPr>
            <w:tcW w:w="604"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政府性基金预算</w:t>
            </w:r>
          </w:p>
        </w:tc>
        <w:tc>
          <w:tcPr>
            <w:tcW w:w="588"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国有资本经营预算</w:t>
            </w:r>
          </w:p>
        </w:tc>
        <w:tc>
          <w:tcPr>
            <w:tcW w:w="604"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财政专户管理资金</w:t>
            </w:r>
          </w:p>
        </w:tc>
        <w:tc>
          <w:tcPr>
            <w:tcW w:w="583"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361,073,305.39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202,988,229.57</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158,085,075.82</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节能环保支出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污染防治</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14,188,544.00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2110302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水体</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2110307</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土壤</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34,100.00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34,100.00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城乡社区支出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国有土地使用权出让收入安排的支出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3,272,205.80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农业生产发展支出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2120816</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农业农村生态环境支出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2,632,205.80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2,632,205.80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农林水支出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188,799,685.57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188,799,685.57</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69,431,475.77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69,431,475.77</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行政运行</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612,846.00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612,846.00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事业运行</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469,822.50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469,822.50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2130106</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科技转化与推广服务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270,000.00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270,000.00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病虫害控制</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573,590.00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573,590.00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农产品质量安全</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1,679,853.50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1,679,853.50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2130120</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稳定农民收入补贴</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8,533,300.90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8,533,300.90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农业生产发展</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1,008,512.87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1,008,512.87</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农村合作经济</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2130135</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农业生态资源保护</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2,003,850.00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2,003,850.00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2130148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渔业发展</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7,109,700.00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7,109,700.00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2130153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耕地建设与利用</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林业和草原</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115,661,849.00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115,661,849.00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林业草原防灾减灾</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412,149.00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412,149.00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2130237</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行业业务管理</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巩固</w:t>
            </w:r>
            <w:r>
              <w:rPr>
                <w:rFonts w:hint="eastAsia" w:asciiTheme="minorEastAsia" w:hAnsiTheme="minorEastAsia" w:cstheme="minorEastAsia"/>
                <w:b w:val="0"/>
                <w:bCs w:val="0"/>
                <w:i w:val="0"/>
                <w:iCs w:val="0"/>
                <w:color w:val="000000"/>
                <w:kern w:val="0"/>
                <w:sz w:val="22"/>
                <w:szCs w:val="22"/>
                <w:u w:val="none"/>
                <w:lang w:val="en-US" w:eastAsia="zh-CN" w:bidi="ar"/>
              </w:rPr>
              <w:t>拓展</w:t>
            </w: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脱贫攻坚成果衔接乡村振兴</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2130505</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生产发展</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农村综合改革</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2130701</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对村级公益事业建设的补助</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普惠金融发展支出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2130803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农业保险保费补贴</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资源勘探工业信息等支出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超长期特别国债安排的支出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2159802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制造业</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其他政府性基金及对应专项债务收入安排的支出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其他地方自行试点项目收益专项债券收入安排的支出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注：本表反映本年度项目支出决算情况，其中支出数包括当年预算资金和以前年度结转资金安排的合计实际支出。</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heme="minorEastAsia" w:hAnsiTheme="minorEastAsia" w:eastAsiaTheme="minorEastAsia" w:cstheme="minorEastAsia"/>
          <w:b w:val="0"/>
          <w:bCs w:val="0"/>
          <w:color w:val="auto"/>
          <w:kern w:val="0"/>
          <w:sz w:val="22"/>
          <w:szCs w:val="22"/>
          <w:highlight w:val="no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heme="minorEastAsia" w:hAnsiTheme="minorEastAsia" w:eastAsiaTheme="minorEastAsia" w:cstheme="minorEastAsia"/>
          <w:b w:val="0"/>
          <w:bCs w:val="0"/>
          <w:color w:val="auto"/>
          <w:kern w:val="0"/>
          <w:sz w:val="22"/>
          <w:szCs w:val="22"/>
          <w:highlight w:val="none"/>
        </w:rPr>
        <w:sectPr>
          <w:footerReference r:id="rId6" w:type="default"/>
          <w:pgSz w:w="16838" w:h="11906" w:orient="landscape"/>
          <w:pgMar w:top="2098" w:right="1531" w:bottom="1984" w:left="1531" w:header="851" w:footer="992" w:gutter="0"/>
          <w:pgBorders>
            <w:top w:val="none" w:sz="0" w:space="0"/>
            <w:left w:val="none" w:sz="0" w:space="0"/>
            <w:bottom w:val="none" w:sz="0" w:space="0"/>
            <w:right w:val="none" w:sz="0" w:space="0"/>
          </w:pgBorders>
          <w:cols w:space="720" w:num="1"/>
          <w:docGrid w:type="lines" w:linePitch="312" w:charSpace="0"/>
        </w:sectPr>
      </w:pPr>
    </w:p>
    <w:p>
      <w:pPr>
        <w:widowControl/>
        <w:spacing w:before="0" w:beforeLines="0" w:beforeAutospacing="0" w:after="0" w:afterLines="0" w:afterAutospacing="0" w:line="360" w:lineRule="auto"/>
        <w:jc w:val="center"/>
        <w:outlineLvl w:val="0"/>
        <w:rPr>
          <w:rFonts w:ascii="黑体" w:eastAsia="黑体"/>
          <w:sz w:val="44"/>
          <w:szCs w:val="44"/>
        </w:rPr>
      </w:pPr>
      <w:r>
        <w:rPr>
          <w:rFonts w:ascii="黑体" w:eastAsia="黑体"/>
          <w:b w:val="0"/>
          <w:sz w:val="44"/>
          <w:szCs w:val="44"/>
        </w:rPr>
        <w:t>第三部分  2024年度部门决算情况说明</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一、收入支出决算总体情况说明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度收入、支出决算总计423,087,002.57元。与2023年度相比，收、支总计各减少92,389,319.92元，下降17.923%，主要原因是响应政府过紧日子号召，压减项目经费导致项目经费收支减少，且人员退休及调出导致人员经费收支减少。</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收入包括：一般公共预算财政拨款收入233,590,242.96元、政府性基金预算财政拨款收入124,891,912.84元、其他收入105,864.61元。</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支出包括：社会保障和就业支出2,938,116.72元、卫生健康支出1,455,889.99元、节能环保支出14,188,544.00元、城乡社区支出3,272,205.80元、农林水支出214,999,744.18元、资源勘探工业信息等支出41,000.00元、其他支出154,771,870.02元。</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二、收入决算情况说明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度本年收入合计358,588,020.41元，与2023年度相比减少40,158,129.68元，主要原因是响应政府过紧日子号召，压减项目经费导致项目经费收入减少，且人员退休及调出导致人员经费收入减少。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一般公共预算财政拨款收入233,590,242.96元，占65.142%；政府性基金预算财政拨款收入124,891,912.84元，占34.829%；其他收入105,864.61元，占0.030%。</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三、支出决算情况说明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度本年支出合计391,667,370.71元，与2023年度相比减少58,180,120.09元，主要原因是响应政府过紧日子号召，压减项目经费导致项目经费支出减少，且人员退休及调出导致人员经费支出减少。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基本支出30,594,065.32元，占7.811%；项目支出361,073,305.39元，占92.189%。</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四、财政拨款收支决算总体情况说明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度财政拨款收入、支出决算总计422,934,651.69元。与2023年度相比，财政拨款收、支总计各减少91,365,335.00元，下降17.765%，主要原因是响应政府过紧日子号召，压减项目经费导致项目经费财政拨款收支减少，且人员退休及调出导致人员经费财政拨款收支减少。</w:t>
      </w:r>
    </w:p>
    <w:p>
      <w:pPr>
        <w:widowControl/>
        <w:spacing w:before="0" w:beforeLines="0" w:beforeAutospacing="0" w:after="0" w:afterLines="0" w:afterAutospacing="0" w:line="360" w:lineRule="auto"/>
        <w:ind w:firstLine="600" w:firstLineChars="200"/>
        <w:jc w:val="left"/>
        <w:outlineLvl w:val="1"/>
        <w:rPr>
          <w:rFonts w:ascii="Times New Roman" w:eastAsia="仿宋_GB2312"/>
          <w:sz w:val="30"/>
          <w:szCs w:val="30"/>
        </w:rPr>
      </w:pPr>
      <w:r>
        <w:rPr>
          <w:rFonts w:ascii="Times New Roman" w:eastAsia="仿宋_GB2312"/>
          <w:b w:val="0"/>
          <w:sz w:val="30"/>
          <w:szCs w:val="30"/>
        </w:rPr>
        <w:t>收入包括：一般公共预算财政拨款233,590,242.96元、政府性基金预算财政拨款124,891,912.84元、年初财政拨款结转和结余64,452,495.89元。</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支出包括：社会保障和就业支出2,938,116.72元、卫生健康支出1,455,889.99元、节能环保支出14,188,544.00元、城乡社区支出3,272,205.80元、农林水支出214,999,744.18元、资源勘探工业信息等支出41,000.00元、其他支出154,771,870.02元。</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五、一般公共预算财政拨款支出决算情况说明</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度部门决算一般公共预算财政拨款支出合计233,582,294.89元，占本年支出合计的59.638%。与2023年度相比，一般公共预算财政拨款支出减少47,280,186.99元，下降16.834%，主要原因是响应政府过紧日子号召，压减项目经费导致项目经费一般公共预算财政拨款支出减少，且人员退休及调出导致人员经费一般公共预算财政拨款支出收支减少。</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（二）支出结构情况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一般公共预算财政拨款支出233,582,294.89元，主要用于以下方面：社会保障和就业支出（类）2,938,116.72元，占1.258%；卫生健康支出（类）1,455,889.99元，占0.623%；节能环保支出（类）14,188,544.00元，占6.074%；农林水支出（类）214,999,744.18元，占92.045%。</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（三）具体情况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2024年度一般公共预算财政拨款支出年初预算为305,619,600.00元，支出决算为233,582,294.89元，完成年初预算的76.429%。其中： </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社会保障和就业支出(类)行政事业单位养老支出(款)机关事业单位基本养老保险缴费支出(项)年初预算为2,135,600.00元，支出决算为1,958,744.48元，完成年初预算的91.719%，决算数小于年初预算数的主要原因是：人员退休及调出导致保险费用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社会保障和就业支出(类)行政事业单位养老支出(款)机关事业单位职业年金缴费支出(项)年初预算为1,067,900.00元，支出决算为979,372.24元，完成年初预算的91.710%，决算数小于年初预算数的主要原因是：人员退休及调出导致保险费用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卫生健康支出(类)行政事业单位医疗(款)行政单位医疗(项)年初预算为297,400.00元，支出决算为254,445.41元，完成年初预算的85.557%，决算数小于年初预算数的主要原因是：人员退休及调出导致保险费用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4.​卫生健康支出(类)行政事业单位医疗(款)事业单位医疗(项)年初预算为1,234,900.00元，支出决算为1,150,555.72元，完成年初预算的93.170%，决算数小于年初预算数的主要原因是：人员退休及调出导致保险费用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5.​卫生健康支出(类)行政事业单位医疗(款)公务员医疗补助(项)年初预算为59,500.00元，支出决算为50,888.86元，完成年初预算的85.527%，决算数小于年初预算数的主要原因是：人员退休及调出导致保险费用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6.​节能环保支出(类)污染防治(款)水体(项)年初预算为0.00元，支出决算为14,154,444.00元，决算数大于年初预算数的主要原因是：本部门年中下达金钟河沿岸生态修复工程项目资金并支出，用于金钟河沿岸生态修复工程。</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7.​节能环保支出(类)污染防治(款)土壤(项)年初预算为0.00元，支出决算为34,100.00元，决算数大于年初预算数的主要原因是：本部门年中下达天津市东丽区耕地安全利用项目（津财建一指【2022】48号）-区级配套资金并支出，用于天津市东丽区耕地安全利用项目。</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8.​节能环保支出(类)自然生态保护(款)生物及物种资源保护(项)年初预算为130,000.00元，支出决算为0.00元，完成年初预算的0.000%，决算数小于年初预算数的主要原因是：野生动物危害防控项目未达到付款条件，结转下年度支出。</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9.​农林水支出(类)农业农村(款)行政运行(项)年初预算为6,339,100.00元，支出决算为6,239,758.86元，完成年初预算的98.433%，决算数小于年初预算数的主要原因是：人员退休及调出导致人员工资、公积金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10.​农林水支出(类)农业农村(款)事业运行(项)年初预算为22,098,500.00元，支出决算为21,042,968.25元，完成年初预算的95.224%，决算数小于年初预算数的主要原因是：人员退休及调出导致人员工资、公积金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11.​农林水支出(类)农业农村(款)科技转化与推广服务(项)年初预算为0.00元，支出决算为270,000.00元，决算数大于年初预算数的主要原因是：上级资金在年中到达，故在年中追加项目并支出，用于高素质农民培育、基层农技推广体系改革与建设。</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12.​农林水支出(类)农业农村(款)病虫害控制(项)年初预算为0.00元，支出决算为573,590.00元，决算数大于年初预算数的主要原因是：上级资金在年中到达，故在年中追加项目并支出，用于村级动物防疫员项目；年中下达重大动物疫病防控及绿色防控统防统治及假高粱项目并支出。</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13.​农林水支出(类)农业农村(款)农产品质量安全(项)年初预算为0.00元，支出决算为1,679,853.50元，决算数大于年初预算数的主要原因是：年中追加2024年农产品质量安全检测项目资金并支出，用于农产品质量安全检测。</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14.​农林水支出(类)农业农村(款)稳定农民收入补贴(项)年初预算为1,080,000.00元，支出决算为8,533,300.90元，完成年初预算的790.120%，决算数大于年初预算数的主要原因是：上级资金在年中到达，故在年中追加项目并支出，用于耕地地力保护补贴。</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15.​农林水支出(类)农业农村(款)农业生产发展(项)年初预算为304,100.00元，支出决算为1,008,512.87元，完成年初预算的331.639%，决算数大于年初预算数的主要原因是：上级资金在年中到达，故在年中追加项目并支出，用于小麦“一喷三防”、农机购置与应用补贴；下达农村土地承包经营纠纷调查调解仲裁建设项目及东丽区耕地质量等级评价项目并支出，用于农村土地承包经营纠纷调查调解仲裁建设及东丽区耕地质量等级评价。</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16.​农林水支出(类)农业农村(款)农村合作经济(项)年初预算为67,500.00元，支出决算为450,000.00元，完成年初预算的666.667%，决算数大于年初预算数的主要原因是：上级资金在年中到达，故在年中追加项目并支出，用于奶牛家庭牧场、粮油单产提升及合作社培育。</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17.​农林水支出(类)农业农村(款)农业生态资源保护(项)年初预算为1,750,000.00元，支出决算为2,003,850.00元，完成年初预算的114.506%，决算数大于年初预算数的主要原因是：年中下达水产养殖尾水治理项目和农田残膜回收处理项目并支出。</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18.​农林水支出(类)农业农村(款)渔业发展(项)年初预算为4,860,000.00元，支出决算为7,109,700.00元，完成年初预算的146.290%，决算数大于年初预算数的主要原因是：上级资金在年中到达，故在年中追加项目并支出，用于成品油价格调整对渔业补助和渔业发展。</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19.​农林水支出(类)农业农村(款)耕地建设与利用(项)年初预算为41,000,000.00元，支出决算为46,720,000.00元，完成年初预算的113.951%，决算数大于年初预算数的主要原因是：上级资金在年中到达，故在年中追加项目并支出，用于高标准农田建设。</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农林水支出(类)林业和草原(款)林业草原防灾减灾(项)年初预算为0.00元，支出决算为412,149.00元，决算数大于年初预算数的主要原因是：上级资金在年中到达，故在年中追加项目并支出，用于林业有害生物防治补助。</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21.​农林水支出(类)林业和草原(款)行业业务管理(项)年初预算为221,921,100.00元，支出决算为115,249,700.00元，完成年初预算的51.933%，决算数小于年初预算数的主要原因是：天津市东丽区郊野公园PPP项目及天津市东丽区林业生态建设PPP项目项目未完工，单位根据实际进度进行支出。</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22.​农林水支出(类)巩固</w:t>
      </w:r>
      <w:r>
        <w:rPr>
          <w:rFonts w:hint="eastAsia" w:ascii="Times New Roman" w:eastAsia="仿宋_GB2312"/>
          <w:b w:val="0"/>
          <w:sz w:val="30"/>
          <w:szCs w:val="30"/>
          <w:lang w:eastAsia="zh-CN"/>
        </w:rPr>
        <w:t>拓展</w:t>
      </w:r>
      <w:r>
        <w:rPr>
          <w:rFonts w:ascii="Times New Roman" w:eastAsia="仿宋_GB2312"/>
          <w:b w:val="0"/>
          <w:sz w:val="30"/>
          <w:szCs w:val="30"/>
        </w:rPr>
        <w:t>脱贫攻坚成果衔接乡村振兴(款)生产发展(项)年初预算为0.00元，支出决算为600,000.00元，决算数大于年初预算数的主要原因是：上级资金在年中到达，故在年中追加项目并支出，用于中央财政衔接推进乡村振兴补助。</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23.​农林水支出(类)农村综合改革(款)对村级公益事业建设的补助(项)年初预算为0.00元，支出决算为3,000,000.00元，决算数大于年初预算数的主要原因是：上级资金在年中到达，故在年中追加项目并支出，用于乡村旅游示范片区公益项目。</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24.​农林水支出(类)普惠金融发展支出(款)农业保险保费补贴(项)年初预算为1,274,000.00元，支出决算为106,360.80元，完成年初预算的8.349%，决算数小于年初预算数的主要原因是：本年农户投保意愿不高，导致投保支出小于年初预算。</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六、一般公共预算财政拨款基本支出决算情况说明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天津市东丽区农业农村委员会2024年度部门决算一般公共预算财政拨款基本支出合计30,594,065.32元，与2023年度相比减少3,585,475.50元，主要原因是人员退休及调出导致人员经费支出减少。其中：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人员经费27,550,608.39元，主要包括基本工资、津贴补贴、奖金、绩效工资、机关事业单位基本养老保险缴费、职业年金缴费、职工基本医疗保险缴费、公务员医疗补助缴费、其他社会保障缴费、住房公积金、医疗费、其他工资福利支出、离休费、退休费、生活补助、医疗费补助、奖励金和其他对个人和家庭的补助。</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用经费3,043,456.93元，主要包括办公费、印刷费、手续费、水费、电费、邮电费、取暖费、物业管理费、差旅费、维修(护)费、租赁费、培训费、委托业务费、工会经费、福利费、公务用车运行维护费、其他交通费用、税金及附加费用和其他商品和服务支出。</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七、政府性基金预算财政拨款收支决算情况说明</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度部门决算政府性基金预算财政拨款年初结转和结余64,101,798.63元，收入124,891,912.84元，支出158,085,075.82元，年末结转和结余30,908,635.65元。与2023年度相比，政府性基金预算财政拨款支出减少10,899,933.10元，下降6.450%，主要原因是东丽区绿色生态屏障区（南片区）储备林工程项目、绿色生态屏障区（北片区）金钟河北生态保护区项目未竣工，农业用水供水水源转换及灌溉设施提升项目未完成财政结算，本单位按实际进度进行支出。</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（二）支出结构情况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2024年度政府性基金预算财政拨款支出158,085,075.82元，主要用于以下方面：城乡社区支出（类）3,272,205.80元，占2.070%；资源勘探工业信息等支出（类）41,000.00元，占0.026%；其他支出（类）154,771,870.02元，占97.904%。</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（三）具体情况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2024年度政府性基金预算财政拨款支出年初预算为766,780,528.55元，支出决算为158,085,075.82元，完成年初预算的20.617%。其中：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城乡社区支出(类)国有土地使用权出让收入安排的支出(款)农业生产发展支出(项)年初预算为640,000.00元，支出决算为640,000.00元，完成年初预算的100.000%，决算数与年初预算数持平的主要原因是：本年严格按照预算执行。</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城乡社区支出(类)国有土地使用权出让收入安排的支出(款)农业农村生态环境支出(项)年初预算为2,197,600.00元，支出决算为2,632,205.80元，完成年初预算的119.776%，决算数大于年初预算数的主要原因是：上级资金在年中到达，故在年中追加项目并支出，用于农作物秸秆综合利用。</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资源勘探工业信息等支出(类)超长期特别国债安排的支出(款)制造业(项)年初预算为0.00元，支出决算为41,000.00元，决算数大于年初预算数的主要原因是：上级资金在年中到达，故在年中追加项目并支出，用于农机报废更新补贴。</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4.​其他支出(类)其他政府性基金及对应专项债务收入安排的支出(款)其他地方自行试点项目收益专项债券收入安排的支出(项)年初预算为763,942,928.55元，支出决算为154,771,870.02元，完成年初预算的20.260%，决算数小于年初预算数的主要原因是：东丽区绿色生态屏障区（南片区）储备林工程项目、绿色生态屏障区（北片区）金钟河北生态保护区项目未竣工，农业用水供水水源转换及灌溉设施提升项目未完成财政结算，本单位按实际进度支付相关款项。</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八、国有资本经营预算财政拨款收支决算情况说明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天津市东丽区农业农村委员会2024年度无国有资本经营预算财政拨款收入、支出和结转结余。</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九、财政拨款“三公”经费支出决算情况说明</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财政拨款“三公”经费预算59,223.08元，支出决算59,223.08元，与2024年预算相比持平，完成预算的100.000%；支出决算较上年减少26.71元，下降0.045%。决算数与预算数持平的主要原因是本年严格按照预算执行；决算数较上年减少的主要原因是车辆保险费用降低。</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（二）具体情况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因公出国（境）费预算0.00元，支出决算0.00元，与预算相比持平；支出决算较上年持平；决算数与预算数持平的主要原因是本年未用财政拨款列支因公出国（境）费；决算数较上年持平的主要原因是本年未用财政拨款列支因公出国（境）费。</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2024年本单位组织的出国团组0个，出国0人次。</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公务用车购置及运行维护费预算59,223.08元，支出决算59,223.08元，与预算相比持平，完成预算的100.000%；支出决算较上年减少26.71元，下降0.045%。决算数与预算数持平的主要原因是本年严格按照预算执行；决算数较上年减少的主要原因是车辆保险费用降低。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务用车运行维护费预算59,223.08元，支出决算59,223.08元，与预算相比持平，完成预算的100.000%；支出决算较上年减少26.71元，下降0.045%。决算数与预算数持平的主要原因是本年严格按照预算执行；决算数较上年减少的主要原因是车辆保险费用降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截至2024年12月31日，使用财政拨款开支运行维护费的公务用车保有量为15辆。</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务用车购置费预算0.00元，支出决算0.00元，与预算相比持平；支出决算较上年持平；决算数与预算数持平的主要原因是本年未用财政拨款列支公务用车购置费；决算数较上年持平的主要原因是本年未用财政拨款列支公务用车购置费。</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2024年购置公务用车0辆。</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公务接待费预算0.00元，支出决算0.00元，与预算相比持平；支出决算较上年持平；决算数与预算数持平的主要原因是本年未用财政拨款列支公务接待费；决算数较上年持平的主要原因是本年未用财政拨款列支公务接待费。</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2024年本单位国内公务接待0批次，0人次；其中，外事接待0批次，0人次。</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十、机关运行经费支出情况说明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机关运行经费是指行政单位和参照公务员法管理的事业单位使用财政拨款安排的基本支出中的日常公用经费支出，天津市东丽区农业农村委员会2024年度机关运行经费年初预算989,555.77元，决算数925,007.88元，与年初预算相比减少64,547.89元，完成年初预算的93.477%；比2023年增加183,388.21元，增长24.728%。主要原因是：本部门按实际需求支付部分以前年度欠款 。</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十一、政府采购支出情况说明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天津市东丽区农业农村委员会2024年政府采购支出总额169,637,243.00元，其中：政府采购货物支出28,716.00元、政府采购工程支出167,404,144.00元、政府采购服务支出2,204,383.00元。</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授予中小企业合同金额28,716.00元，占政府采购支出总额的0.017%，其中：授予小微企业合同金额28,716.00元，占政府采购支出总额的0.017%；货物采购授予中小企业合同金额占货物支出金额的100.000%；工程采购授予中小企业合同金额占工程支出金额的0.000%；服务采购授予中小企业合同金额占服务支出金额的0.000%。</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十二、国有资产占有使用情况说明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截至2024年12月31日，天津市东丽区农业农村委员会共有车辆15辆，其中：其他用车15辆，其他用车主要包括检疫及防疫用车。单价100万元以上的设备0台（套）。</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十三、预算绩效情况说明</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根据预算绩效管理要求，天津市东丽区农业农村委员会2024年度已对70个项目开展部门评价，涉及金额361073305.39元，自评结果已随部门决算一并公开。本部门2024年度未开展部门评价。</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十四、教育、医疗卫生、社会保障和就业、住房保障、涉农补贴等民生支出情况说明</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天津市东丽区农业农村委员会不属于乡、镇、街级单位，不涉及公开2024年度教育、医疗卫生、社会保障和就业、住房保障、涉农补贴等民生支出情况。</w:t>
      </w:r>
    </w:p>
    <w:p>
      <w:pPr>
        <w:widowControl/>
        <w:spacing w:before="0" w:beforeLines="0" w:beforeAutospacing="0" w:after="0" w:afterLines="0" w:afterAutospacing="0" w:line="360" w:lineRule="auto"/>
        <w:jc w:val="center"/>
        <w:outlineLvl w:val="0"/>
        <w:rPr>
          <w:rFonts w:ascii="黑体" w:eastAsia="黑体"/>
          <w:sz w:val="44"/>
          <w:szCs w:val="44"/>
        </w:rPr>
      </w:pPr>
      <w:r>
        <w:rPr>
          <w:rFonts w:ascii="黑体" w:eastAsia="黑体"/>
          <w:b w:val="0"/>
          <w:sz w:val="44"/>
          <w:szCs w:val="44"/>
        </w:rPr>
        <w:t>第四部分 名词解释</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pPr>
        <w:rPr>
          <w:rFonts w:hint="default" w:asciiTheme="minorEastAsia" w:hAnsiTheme="minorEastAsia" w:cstheme="minorEastAsia"/>
          <w:b w:val="0"/>
          <w:bCs w:val="0"/>
          <w:i w:val="0"/>
          <w:iCs w:val="0"/>
          <w:caps w:val="0"/>
          <w:color w:val="333333"/>
          <w:spacing w:val="0"/>
          <w:sz w:val="22"/>
          <w:szCs w:val="22"/>
          <w:highlight w:val="none"/>
          <w:shd w:val="clear" w:fill="FFFFFF"/>
          <w:lang w:val="en-US" w:eastAsia="zh-CN"/>
        </w:rPr>
      </w:pP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Calibri Light">
    <w:altName w:val="DejaVu Sans"/>
    <w:panose1 w:val="020F0302020204030204"/>
    <w:charset w:val="00"/>
    <w:family w:val="auto"/>
    <w:pitch w:val="default"/>
    <w:sig w:usb0="00000000" w:usb1="00000000" w:usb2="00000009" w:usb3="00000000" w:csb0="200001FF" w:csb1="00000000"/>
  </w:font>
  <w:font w:name="华文中宋">
    <w:altName w:val="汉仪中宋简"/>
    <w:panose1 w:val="02010600040101010101"/>
    <w:charset w:val="86"/>
    <w:family w:val="auto"/>
    <w:pitch w:val="default"/>
    <w:sig w:usb0="00000000" w:usb1="00000000" w:usb2="00000000" w:usb3="00000000" w:csb0="0004009F" w:csb1="DFD70000"/>
  </w:font>
  <w:font w:name="helvetica">
    <w:altName w:val="汉仪中秀体简"/>
    <w:panose1 w:val="00000000000000000000"/>
    <w:charset w:val="00"/>
    <w:family w:val="auto"/>
    <w:pitch w:val="default"/>
    <w:sig w:usb0="00000000" w:usb1="00000000" w:usb2="00000000" w:usb3="00000000" w:csb0="2000019F" w:csb1="4F010000"/>
  </w:font>
  <w:font w:name="Fz_S_BiaoSong_Jt">
    <w:altName w:val="汉仪仿宋S"/>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宋体-简">
    <w:altName w:val="宋体"/>
    <w:panose1 w:val="0201080004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embedTrueTypeFonts/>
  <w:saveSubsetFonts/>
  <w:bordersDoNotSurroundHeader w:val="false"/>
  <w:bordersDoNotSurroundFooter w:val="false"/>
  <w:documentProtection w:enforcement="0"/>
  <w:defaultTabStop w:val="420"/>
  <w:drawingGridVerticalSpacing w:val="165"/>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5521B6"/>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6A5262"/>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8833B6"/>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3E2317"/>
    <w:rsid w:val="2A611B0F"/>
    <w:rsid w:val="2AC1762B"/>
    <w:rsid w:val="2AE845D0"/>
    <w:rsid w:val="2B043E5C"/>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D7ECED1"/>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145DDE"/>
    <w:rsid w:val="36330424"/>
    <w:rsid w:val="36FE3ABA"/>
    <w:rsid w:val="37072BDE"/>
    <w:rsid w:val="37455334"/>
    <w:rsid w:val="37527C32"/>
    <w:rsid w:val="376F0A96"/>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C46D08"/>
    <w:rsid w:val="3BD30423"/>
    <w:rsid w:val="3BDF4895"/>
    <w:rsid w:val="3C6C0B58"/>
    <w:rsid w:val="3CBE41D5"/>
    <w:rsid w:val="3D446B0E"/>
    <w:rsid w:val="3D745844"/>
    <w:rsid w:val="3D953A6B"/>
    <w:rsid w:val="3DBB5979"/>
    <w:rsid w:val="3DD56F21"/>
    <w:rsid w:val="3DEF6699"/>
    <w:rsid w:val="3E1057AF"/>
    <w:rsid w:val="3E6C0DFA"/>
    <w:rsid w:val="3E740322"/>
    <w:rsid w:val="3E7F4380"/>
    <w:rsid w:val="3E8D171B"/>
    <w:rsid w:val="3EA5630D"/>
    <w:rsid w:val="3EBA731B"/>
    <w:rsid w:val="3EE33949"/>
    <w:rsid w:val="3EEACD73"/>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021C2"/>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357B6A"/>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24043A"/>
    <w:rsid w:val="483820D2"/>
    <w:rsid w:val="48692CD0"/>
    <w:rsid w:val="48AE3D01"/>
    <w:rsid w:val="48B06F92"/>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5F3FC0"/>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2A18AC"/>
    <w:rsid w:val="514E62C9"/>
    <w:rsid w:val="516123CE"/>
    <w:rsid w:val="517624D8"/>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C1326E"/>
    <w:rsid w:val="54D26583"/>
    <w:rsid w:val="55363E67"/>
    <w:rsid w:val="556E6DF7"/>
    <w:rsid w:val="55965CE3"/>
    <w:rsid w:val="559D47CE"/>
    <w:rsid w:val="55BE1959"/>
    <w:rsid w:val="55D02382"/>
    <w:rsid w:val="56232437"/>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41EC4"/>
    <w:rsid w:val="5C8E5C5A"/>
    <w:rsid w:val="5C965E61"/>
    <w:rsid w:val="5CF0089C"/>
    <w:rsid w:val="5CF5796F"/>
    <w:rsid w:val="5D242A11"/>
    <w:rsid w:val="5D9217C2"/>
    <w:rsid w:val="5DAD06BF"/>
    <w:rsid w:val="5DBBFF12"/>
    <w:rsid w:val="5DC92CE9"/>
    <w:rsid w:val="5DE23CB3"/>
    <w:rsid w:val="5DE97EEC"/>
    <w:rsid w:val="5DFA5EB0"/>
    <w:rsid w:val="5E000E4D"/>
    <w:rsid w:val="5E0B583E"/>
    <w:rsid w:val="5E201A7B"/>
    <w:rsid w:val="5EA45884"/>
    <w:rsid w:val="5EBD0484"/>
    <w:rsid w:val="5F2C5C7C"/>
    <w:rsid w:val="5F36141C"/>
    <w:rsid w:val="5FC5273F"/>
    <w:rsid w:val="5FDD0C57"/>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AB223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5D716AA"/>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5AB798"/>
    <w:rsid w:val="6FA14A81"/>
    <w:rsid w:val="6FA3261F"/>
    <w:rsid w:val="6FA59283"/>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3177841"/>
    <w:rsid w:val="733774FE"/>
    <w:rsid w:val="734E594C"/>
    <w:rsid w:val="73617E1B"/>
    <w:rsid w:val="736D7653"/>
    <w:rsid w:val="738035CB"/>
    <w:rsid w:val="73852C46"/>
    <w:rsid w:val="7396335C"/>
    <w:rsid w:val="73F46595"/>
    <w:rsid w:val="73FBB56E"/>
    <w:rsid w:val="74283FA2"/>
    <w:rsid w:val="742C135B"/>
    <w:rsid w:val="74463733"/>
    <w:rsid w:val="748A2F40"/>
    <w:rsid w:val="74D84FF7"/>
    <w:rsid w:val="74F35FB8"/>
    <w:rsid w:val="74F85778"/>
    <w:rsid w:val="75272439"/>
    <w:rsid w:val="758F1E9B"/>
    <w:rsid w:val="75CE266B"/>
    <w:rsid w:val="75D7ECB3"/>
    <w:rsid w:val="76120141"/>
    <w:rsid w:val="766A4299"/>
    <w:rsid w:val="768216BE"/>
    <w:rsid w:val="76C23B43"/>
    <w:rsid w:val="76FD6F97"/>
    <w:rsid w:val="770218E8"/>
    <w:rsid w:val="77472401"/>
    <w:rsid w:val="779469CE"/>
    <w:rsid w:val="77C875A5"/>
    <w:rsid w:val="78A27DF6"/>
    <w:rsid w:val="79285B3A"/>
    <w:rsid w:val="79490B03"/>
    <w:rsid w:val="79625CA9"/>
    <w:rsid w:val="79A91196"/>
    <w:rsid w:val="7A0B32D3"/>
    <w:rsid w:val="7AC13CD3"/>
    <w:rsid w:val="7AE10264"/>
    <w:rsid w:val="7AE4248E"/>
    <w:rsid w:val="7AF47613"/>
    <w:rsid w:val="7B4A207F"/>
    <w:rsid w:val="7B936F45"/>
    <w:rsid w:val="7BA47419"/>
    <w:rsid w:val="7BB10D45"/>
    <w:rsid w:val="7BB44151"/>
    <w:rsid w:val="7BBD3A54"/>
    <w:rsid w:val="7C656A39"/>
    <w:rsid w:val="7CB93996"/>
    <w:rsid w:val="7CBE0F99"/>
    <w:rsid w:val="7D093576"/>
    <w:rsid w:val="7D4E45F1"/>
    <w:rsid w:val="7DFB6D82"/>
    <w:rsid w:val="7DFED4AA"/>
    <w:rsid w:val="7E1D71D1"/>
    <w:rsid w:val="7E246254"/>
    <w:rsid w:val="7E553215"/>
    <w:rsid w:val="7E6D090F"/>
    <w:rsid w:val="7ECC66B2"/>
    <w:rsid w:val="7EEB9CA9"/>
    <w:rsid w:val="7F2914C3"/>
    <w:rsid w:val="7F5F2ED6"/>
    <w:rsid w:val="7F7BD542"/>
    <w:rsid w:val="7FA837EF"/>
    <w:rsid w:val="7FBC9352"/>
    <w:rsid w:val="7FC11EF6"/>
    <w:rsid w:val="7FC36955"/>
    <w:rsid w:val="7FE903A0"/>
    <w:rsid w:val="7FF07065"/>
    <w:rsid w:val="7FF97946"/>
    <w:rsid w:val="7FFE7888"/>
    <w:rsid w:val="8E7B9B6B"/>
    <w:rsid w:val="AFFFAB52"/>
    <w:rsid w:val="BDDD45B9"/>
    <w:rsid w:val="BDDF7127"/>
    <w:rsid w:val="BFA54E51"/>
    <w:rsid w:val="CDF70E8B"/>
    <w:rsid w:val="D3E60E83"/>
    <w:rsid w:val="DB4FE050"/>
    <w:rsid w:val="DFBD6FEF"/>
    <w:rsid w:val="DFDB6FA4"/>
    <w:rsid w:val="DFDFA0A5"/>
    <w:rsid w:val="E1CFCBEA"/>
    <w:rsid w:val="E1EF5B3B"/>
    <w:rsid w:val="E2DE949D"/>
    <w:rsid w:val="E4C8A119"/>
    <w:rsid w:val="E9EF6F43"/>
    <w:rsid w:val="EDFFE889"/>
    <w:rsid w:val="EEE74D43"/>
    <w:rsid w:val="EF7BA4A3"/>
    <w:rsid w:val="F4B59182"/>
    <w:rsid w:val="F997E54E"/>
    <w:rsid w:val="FB4C53D1"/>
    <w:rsid w:val="FBEF8F85"/>
    <w:rsid w:val="FCE5F63C"/>
    <w:rsid w:val="FD6FC958"/>
    <w:rsid w:val="FFFA960E"/>
    <w:rsid w:val="FFFED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spacing w:before="0" w:beforeAutospacing="0" w:after="0" w:afterAutospacing="0"/>
      <w:ind w:left="0" w:right="0"/>
      <w:jc w:val="left"/>
    </w:pPr>
    <w:rPr>
      <w:rFonts w:ascii="helvetica" w:hAnsi="helvetica" w:eastAsia="helvetica" w:cs="helvetica"/>
      <w:color w:val="000000"/>
      <w:kern w:val="0"/>
      <w:sz w:val="30"/>
      <w:szCs w:val="3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24</Pages>
  <Words>69</Words>
  <Characters>891</Characters>
  <Lines>86</Lines>
  <Paragraphs>24</Paragraphs>
  <TotalTime>6</TotalTime>
  <ScaleCrop>false</ScaleCrop>
  <LinksUpToDate>false</LinksUpToDate>
  <CharactersWithSpaces>893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2023-08-07T15:55:00Z</dcterms:created>
  <dc:creator>王明新TIAD</dc:creator>
  <cp:lastModifiedBy>kylin</cp:lastModifiedBy>
  <cp:lastPrinted>2023-08-07T09:00:00Z</cp:lastPrinted>
  <dcterms:modified xsi:type="dcterms:W3CDTF">2026-01-14T15:55:28Z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