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both"/>
        <w:rPr>
          <w:rFonts w:hint="eastAsia" w:asciiTheme="minorEastAsia" w:hAnsiTheme="minorEastAsia" w:eastAsiaTheme="minorEastAsia" w:cstheme="minorEastAsia"/>
          <w:b w:val="0"/>
          <w:bCs w:val="0"/>
          <w:color w:val="000000"/>
          <w:sz w:val="22"/>
          <w:szCs w:val="22"/>
        </w:rPr>
      </w:pPr>
    </w:p>
    <w:p>
      <w:pPr>
        <w:spacing w:line="600" w:lineRule="auto"/>
        <w:jc w:val="both"/>
        <w:rPr>
          <w:rFonts w:hint="eastAsia" w:asciiTheme="minorEastAsia" w:hAnsiTheme="minorEastAsia" w:eastAsiaTheme="minorEastAsia" w:cstheme="minorEastAsia"/>
          <w:b w:val="0"/>
          <w:bCs w:val="0"/>
          <w:color w:val="000000"/>
          <w:sz w:val="22"/>
          <w:szCs w:val="22"/>
        </w:rPr>
      </w:pPr>
    </w:p>
    <w:p>
      <w:pPr>
        <w:spacing w:line="600" w:lineRule="auto"/>
        <w:jc w:val="both"/>
        <w:rPr>
          <w:rFonts w:hint="eastAsia" w:asciiTheme="minorEastAsia" w:hAnsiTheme="minorEastAsia" w:eastAsiaTheme="minorEastAsia" w:cstheme="minorEastAsia"/>
          <w:b w:val="0"/>
          <w:bCs w:val="0"/>
          <w:color w:val="000000"/>
          <w:sz w:val="22"/>
          <w:szCs w:val="22"/>
        </w:rPr>
      </w:pPr>
    </w:p>
    <w:p>
      <w:pPr>
        <w:widowControl/>
        <w:spacing w:before="0" w:beforeLines="0" w:beforeAutospacing="0" w:after="0" w:afterLines="0" w:afterAutospacing="0" w:line="240" w:lineRule="auto"/>
        <w:jc w:val="center"/>
        <w:rPr>
          <w:rFonts w:ascii="Fz_S_BiaoSong_Jt" w:eastAsia="Fz_S_BiaoSong_Jt"/>
          <w:sz w:val="48"/>
          <w:szCs w:val="48"/>
        </w:rPr>
      </w:pPr>
      <w:r>
        <w:rPr>
          <w:rFonts w:ascii="Fz_S_BiaoSong_Jt" w:eastAsia="Fz_S_BiaoSong_Jt"/>
          <w:b w:val="0"/>
          <w:sz w:val="48"/>
          <w:szCs w:val="48"/>
        </w:rPr>
        <w:t>天津市东丽区农业农村委员会（本级）</w:t>
      </w:r>
    </w:p>
    <w:p>
      <w:pPr>
        <w:widowControl/>
        <w:spacing w:before="0" w:beforeLines="0" w:beforeAutospacing="0" w:after="0" w:afterLines="0" w:afterAutospacing="0" w:line="240" w:lineRule="auto"/>
        <w:jc w:val="center"/>
        <w:rPr>
          <w:rFonts w:ascii="Times New Roman" w:eastAsia="Fz_S_BiaoSong_Jt"/>
          <w:sz w:val="48"/>
          <w:szCs w:val="48"/>
        </w:rPr>
      </w:pPr>
      <w:r>
        <w:rPr>
          <w:rFonts w:ascii="Times New Roman" w:eastAsia="Fz_S_BiaoSong_Jt"/>
          <w:b w:val="0"/>
          <w:sz w:val="48"/>
          <w:szCs w:val="48"/>
        </w:rPr>
        <w:t>2024年度部门决算</w:t>
      </w:r>
    </w:p>
    <w:p>
      <w:pPr>
        <w:spacing w:line="600" w:lineRule="auto"/>
        <w:jc w:val="both"/>
        <w:rPr>
          <w:rFonts w:hint="eastAsia" w:asciiTheme="minorEastAsia" w:hAnsiTheme="minorEastAsia" w:eastAsiaTheme="minorEastAsia" w:cstheme="minorEastAsia"/>
          <w:b w:val="0"/>
          <w:bCs w:val="0"/>
          <w:color w:val="000000"/>
          <w:sz w:val="22"/>
          <w:szCs w:val="22"/>
        </w:rPr>
      </w:pPr>
    </w:p>
    <w:p>
      <w:pPr>
        <w:spacing w:line="600" w:lineRule="auto"/>
        <w:jc w:val="both"/>
        <w:rPr>
          <w:rFonts w:hint="eastAsia" w:asciiTheme="minorEastAsia" w:hAnsiTheme="minorEastAsia" w:eastAsiaTheme="minorEastAsia" w:cstheme="minorEastAsia"/>
          <w:b w:val="0"/>
          <w:bCs w:val="0"/>
          <w:color w:val="000000"/>
          <w:sz w:val="22"/>
          <w:szCs w:val="22"/>
        </w:rPr>
      </w:pPr>
    </w:p>
    <w:p>
      <w:pPr>
        <w:spacing w:line="600" w:lineRule="auto"/>
        <w:jc w:val="both"/>
        <w:rPr>
          <w:rFonts w:hint="eastAsia" w:asciiTheme="minorEastAsia" w:hAnsiTheme="minorEastAsia" w:eastAsiaTheme="minorEastAsia" w:cstheme="minorEastAsia"/>
          <w:b w:val="0"/>
          <w:bCs w:val="0"/>
          <w:color w:val="000000"/>
          <w:sz w:val="22"/>
          <w:szCs w:val="22"/>
        </w:rPr>
      </w:pPr>
    </w:p>
    <w:p>
      <w:pPr>
        <w:rPr>
          <w:rFonts w:hint="eastAsia" w:asciiTheme="minorEastAsia" w:hAnsiTheme="minorEastAsia" w:eastAsiaTheme="minorEastAsia" w:cstheme="minorEastAsia"/>
          <w:b w:val="0"/>
          <w:bCs w:val="0"/>
          <w:color w:val="000000"/>
          <w:sz w:val="22"/>
          <w:szCs w:val="22"/>
        </w:rPr>
      </w:pPr>
      <w:r>
        <w:rPr>
          <w:rFonts w:hint="eastAsia" w:asciiTheme="minorEastAsia" w:hAnsiTheme="minorEastAsia" w:eastAsiaTheme="minorEastAsia" w:cstheme="minorEastAsia"/>
          <w:b w:val="0"/>
          <w:bCs w:val="0"/>
          <w:color w:val="000000"/>
          <w:sz w:val="22"/>
          <w:szCs w:val="22"/>
        </w:rPr>
        <w:br w:type="page"/>
      </w:r>
    </w:p>
    <w:p>
      <w:pPr>
        <w:widowControl/>
        <w:spacing w:before="0" w:beforeLines="0" w:beforeAutospacing="0" w:after="0" w:afterLines="0" w:afterAutospacing="0" w:line="240" w:lineRule="auto"/>
        <w:jc w:val="center"/>
        <w:outlineLvl w:val="0"/>
        <w:rPr>
          <w:rFonts w:ascii="宋体" w:eastAsia="黑体"/>
          <w:sz w:val="44"/>
          <w:szCs w:val="44"/>
        </w:rPr>
      </w:pPr>
      <w:r>
        <w:rPr>
          <w:rFonts w:ascii="宋体" w:eastAsia="黑体"/>
          <w:b w:val="0"/>
          <w:sz w:val="44"/>
          <w:szCs w:val="44"/>
        </w:rPr>
        <w:t>目  录</w:t>
      </w:r>
    </w:p>
    <w:p>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第一部分   概况</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一、主要职责</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二、机构设置</w:t>
      </w:r>
    </w:p>
    <w:p>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第二部分   2024年度部门决算报表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一、收入支出决算总表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二、收入决算表（按功能分类列示）</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三、收入决算表（按单位列示）</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四、支出决算表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五、财政拨款收入支出决算总表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六、一般公共预算财政拨款支出决算表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七、一般公共预算财政拨款基本支出决算明细表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八、政府性基金预算财政拨款收入支出决算表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九、国有资本经营预算财政拨款支出决算表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十、财政拨款“三公”经费支出决算表</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十一、项目支出决算表</w:t>
      </w:r>
    </w:p>
    <w:p>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第三部分   2024年度部门决算情况说明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一、收支决算总体情况说明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二、收入决算情况说明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三、支出决算情况说明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四、财政拨款收支决算总体情况说明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五、一般公共预算财政拨款支出决算情况说明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六、一般公共预算财政拨款基本支出决算情况说明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七、政府性基金预算财政拨款收支决算情况说明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八、国有资本经营预算财政拨款收支决算情况说明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九、财政拨款“三公”经费支出决算情况说明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十、机关运行经费支出情况说明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十一、政府采购支出情况说明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十二、国有资产占有使用情况说明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十三、预算绩效情况说明</w:t>
      </w:r>
    </w:p>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十四、教育、医疗卫生、社会保障和就业、住房保障、涉农补贴等民生支出情况说明</w:t>
      </w:r>
    </w:p>
    <w:p>
      <w:pPr>
        <w:widowControl/>
        <w:spacing w:before="0" w:beforeLines="0" w:beforeAutospacing="0" w:after="0" w:afterLines="0" w:afterAutospacing="0" w:line="240" w:lineRule="auto"/>
        <w:jc w:val="left"/>
        <w:rPr>
          <w:rFonts w:ascii="黑体" w:eastAsia="黑体"/>
          <w:sz w:val="30"/>
          <w:szCs w:val="30"/>
        </w:rPr>
      </w:pPr>
      <w:r>
        <w:rPr>
          <w:rFonts w:ascii="黑体" w:eastAsia="黑体"/>
          <w:b w:val="0"/>
          <w:sz w:val="30"/>
          <w:szCs w:val="30"/>
        </w:rPr>
        <w:t>第四部分   名词解释</w:t>
      </w:r>
    </w:p>
    <w:p>
      <w:pPr>
        <w:rPr>
          <w:rFonts w:hint="eastAsia" w:asciiTheme="minorEastAsia" w:hAnsiTheme="minorEastAsia" w:eastAsiaTheme="minorEastAsia" w:cstheme="minorEastAsia"/>
          <w:b w:val="0"/>
          <w:bCs w:val="0"/>
          <w:sz w:val="22"/>
          <w:szCs w:val="22"/>
          <w:highlight w:val="yellow"/>
        </w:rPr>
      </w:pPr>
    </w:p>
    <w:p>
      <w:pPr>
        <w:snapToGrid w:val="0"/>
        <w:jc w:val="left"/>
        <w:rPr>
          <w:rFonts w:hint="eastAsia" w:asciiTheme="minorEastAsia" w:hAnsiTheme="minorEastAsia" w:eastAsiaTheme="minorEastAsia" w:cstheme="minorEastAsia"/>
          <w:b w:val="0"/>
          <w:bCs w:val="0"/>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pPr>
        <w:snapToGrid w:val="0"/>
        <w:jc w:val="left"/>
        <w:rPr>
          <w:rFonts w:hint="eastAsia" w:asciiTheme="minorEastAsia" w:hAnsiTheme="minorEastAsia" w:eastAsiaTheme="minorEastAsia" w:cstheme="minorEastAsia"/>
          <w:b w:val="0"/>
          <w:bCs w:val="0"/>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footerReference r:id="rId3" w:type="default"/>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pPr>
        <w:widowControl/>
        <w:spacing w:before="0" w:beforeLines="0" w:beforeAutospacing="0" w:after="0" w:afterLines="0" w:afterAutospacing="0" w:line="240" w:lineRule="auto"/>
        <w:jc w:val="center"/>
        <w:outlineLvl w:val="0"/>
        <w:rPr>
          <w:rFonts w:ascii="黑体" w:eastAsia="黑体"/>
          <w:sz w:val="44"/>
          <w:szCs w:val="44"/>
        </w:rPr>
      </w:pPr>
      <w:r>
        <w:rPr>
          <w:rFonts w:ascii="黑体" w:eastAsia="黑体"/>
          <w:b w:val="0"/>
          <w:sz w:val="44"/>
          <w:szCs w:val="44"/>
        </w:rPr>
        <w:t>第一部分  概况</w:t>
      </w:r>
    </w:p>
    <w:p>
      <w:pPr>
        <w:widowControl/>
        <w:spacing w:before="0" w:beforeLines="0" w:beforeAutospacing="0" w:after="0" w:afterLines="0" w:afterAutospacing="0" w:line="240" w:lineRule="auto"/>
        <w:ind w:firstLine="600" w:firstLineChars="200"/>
        <w:jc w:val="left"/>
        <w:outlineLvl w:val="1"/>
        <w:rPr>
          <w:rFonts w:ascii="宋体" w:eastAsia="黑体"/>
          <w:sz w:val="30"/>
          <w:szCs w:val="30"/>
        </w:rPr>
      </w:pPr>
      <w:r>
        <w:rPr>
          <w:rFonts w:ascii="宋体" w:eastAsia="黑体"/>
          <w:b w:val="0"/>
          <w:sz w:val="30"/>
          <w:szCs w:val="30"/>
        </w:rPr>
        <w:t>一、主要职责</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贯彻执行国家和本市有关“三农”工作的法律、法规、规章和方针政策。拟订相关规范性文件草案和政策文件，统筹研究本区“三农”工作的发展战略、中长期规划、重大政策，并组织实施。指导农业综合执法。</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2.统筹推动发展农村社会事业、农村公共服务、农村文化、农村基础设施和乡村治理。牵头组织改善农村人居环境。指导农村精神文明和优秀农耕文化建设。</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3.研究提出深化农村经济体制改革和</w:t>
      </w:r>
      <w:bookmarkStart w:id="0" w:name="_GoBack"/>
      <w:bookmarkEnd w:id="0"/>
      <w:r>
        <w:rPr>
          <w:rFonts w:ascii="Times New Roman" w:eastAsia="仿宋_GB2312"/>
          <w:b w:val="0"/>
          <w:sz w:val="30"/>
          <w:szCs w:val="30"/>
        </w:rPr>
        <w:t>巩固完善农村基本经营制度的建议，指导农村土地承包合同管理、土地承包经营权流转和承包合同纠纷调解仲裁工作。参与推动农村集体产权制度改革，指导农村集体经济组织发展和集体资产管理工作。指导、扶持农民合作经济组织、农业社会化服务体系、新型农业经营主体建设与发展。</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4.参与研究制定农村服务业发展规划和布局规划，提出促进农村服务业发展的建议，指导推动乡村特色产业、农产品加工业、休闲农业发展工作。提出促进大宗农产品流通的建议，培育、保护农业品牌。管理发布农业农村经济信息，监测分析农业农村经济运行。承担农业统计和农业农村信息化有关工作。</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5.负责种植业、畜牧业、渔业、农业机械化等农业各产业的监督管理。指导粮食等农产品生产。组织构建现代农业产业体系、生产体系、经营体系，指导农业标准化生产。负责渔政监督管理。指导农业机械化发展和农机安全监理。</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6.负责农产品质量安全监督管理。组织开展农产品质量安全监测、追溯、风险评估、会同有关部门实施农产品质量安全国家标准。指导农业检验监测体系建设。</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7.组织农业资源区划工作。指导渔业水域以及农业生物物种资源的保护与管理，参与农用地管理。负责水生野生动植物保护、耕地及永久基本农田质量提升工作。</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8.负责有关农业生产资料和农业投入的监督管理。</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9.负责农业防灾减灾、农作物重大病虫害防治工作。</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10.负责农业投资管理。</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11.推动落实农业科技体制改革和农业科技创新体系建设。</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12.指导农业农村人才工作。</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13.指导村集体经济组织规范开展财务公开和民主管理工作，确保集体经济组织成员享有知情权、决策权、参与权和监督权。</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14.负责林业资源的培育、保护和管理。</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15.组织林木种子、草种种质资源普查，负责良种选育推广，管理林木苗种、草种生产经营行为，监督管理林木种苗、草种质量。</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16.牵头开展农业对外合作工作。</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17.负责本领域的安全生产监督管理工作。</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18.承办区委、区政府交办的其他事项。</w:t>
      </w:r>
    </w:p>
    <w:p>
      <w:pPr>
        <w:widowControl/>
        <w:spacing w:before="0" w:beforeLines="0" w:beforeAutospacing="0" w:after="0" w:afterLines="0" w:afterAutospacing="0" w:line="240" w:lineRule="auto"/>
        <w:ind w:firstLine="600" w:firstLineChars="200"/>
        <w:jc w:val="left"/>
        <w:outlineLvl w:val="1"/>
        <w:rPr>
          <w:rFonts w:ascii="宋体" w:eastAsia="黑体"/>
          <w:sz w:val="30"/>
          <w:szCs w:val="30"/>
        </w:rPr>
      </w:pPr>
      <w:r>
        <w:rPr>
          <w:rFonts w:ascii="宋体" w:eastAsia="黑体"/>
          <w:b w:val="0"/>
          <w:sz w:val="30"/>
          <w:szCs w:val="30"/>
        </w:rPr>
        <w:t>二、机构设置</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天津市东丽区农业农村委员会（本级）内设4个职能部门；下辖0个预算单位。纳入天津市东丽区农业农村委员会（本级）2024年度部门决算编制范围的单位包括：</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1.​天津市东丽区农业农村委员会（本级）</w:t>
      </w:r>
    </w:p>
    <w:p>
      <w:pPr>
        <w:widowControl/>
        <w:spacing w:line="600" w:lineRule="exact"/>
        <w:jc w:val="left"/>
        <w:rPr>
          <w:rFonts w:hint="eastAsia" w:asciiTheme="minorEastAsia" w:hAnsiTheme="minorEastAsia" w:eastAsiaTheme="minorEastAsia" w:cstheme="minorEastAsia"/>
          <w:b w:val="0"/>
          <w:bCs w:val="0"/>
          <w:sz w:val="22"/>
          <w:szCs w:val="22"/>
          <w:lang w:val="en-US" w:eastAsia="zh-CN"/>
        </w:rPr>
        <w:sectPr>
          <w:headerReference r:id="rId4" w:type="default"/>
          <w:footerReference r:id="rId5" w:type="default"/>
          <w:pgSz w:w="11906" w:h="16838"/>
          <w:pgMar w:top="1531" w:right="1984" w:bottom="1531" w:left="2098"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widowControl/>
        <w:spacing w:before="0" w:beforeLines="0" w:beforeAutospacing="0" w:after="0" w:afterLines="0" w:afterAutospacing="0" w:line="240" w:lineRule="auto"/>
        <w:jc w:val="center"/>
        <w:outlineLvl w:val="0"/>
        <w:rPr>
          <w:rFonts w:ascii="黑体" w:eastAsia="黑体"/>
          <w:sz w:val="44"/>
          <w:szCs w:val="44"/>
        </w:rPr>
      </w:pPr>
      <w:r>
        <w:rPr>
          <w:rFonts w:ascii="黑体" w:eastAsia="黑体"/>
          <w:b w:val="0"/>
          <w:sz w:val="44"/>
          <w:szCs w:val="44"/>
        </w:rPr>
        <w:t>第二部分  2024年度部门决算报表</w:t>
      </w:r>
    </w:p>
    <w:p>
      <w:pPr>
        <w:pStyle w:val="28"/>
        <w:keepNext w:val="0"/>
        <w:keepLines w:val="0"/>
        <w:widowControl/>
        <w:suppressLineNumbers w:val="0"/>
        <w:rPr>
          <w:rFonts w:hint="eastAsia" w:ascii="仿宋" w:hAnsi="仿宋" w:eastAsia="仿宋" w:cs="仿宋"/>
          <w:b/>
          <w:bCs/>
          <w:sz w:val="30"/>
          <w:szCs w:val="30"/>
          <w:highlight w:val="none"/>
          <w:u w:val="none"/>
          <w:lang w:val="en-US" w:eastAsia="zh-CN"/>
        </w:rPr>
      </w:pPr>
      <w:r>
        <w:rPr>
          <w:rFonts w:hint="eastAsia" w:ascii="仿宋" w:hAnsi="仿宋" w:eastAsia="仿宋" w:cs="仿宋"/>
          <w:b/>
          <w:bCs/>
          <w:sz w:val="30"/>
          <w:szCs w:val="30"/>
        </w:rPr>
        <w:t>一、收入支出决算总表</w:t>
      </w:r>
      <w:r>
        <w:rPr>
          <w:rFonts w:hint="eastAsia" w:ascii="仿宋" w:hAnsi="仿宋" w:eastAsia="仿宋" w:cs="仿宋"/>
          <w:b/>
          <w:bCs/>
          <w:sz w:val="30"/>
          <w:szCs w:val="30"/>
          <w:highlight w:val="none"/>
          <w:u w:val="none"/>
          <w:lang w:val="en-US" w:eastAsia="zh-CN"/>
        </w:rPr>
        <w:t xml:space="preserve">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97"/>
        <w:gridCol w:w="2650"/>
        <w:gridCol w:w="3598"/>
        <w:gridCol w:w="30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912" w:type="pct"/>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部门（单位）：天津市东丽区农业农村委员会（本级） </w:t>
            </w:r>
          </w:p>
        </w:tc>
        <w:tc>
          <w:tcPr>
            <w:tcW w:w="108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Style w:val="27"/>
                <w:rFonts w:hint="eastAsia" w:asciiTheme="minorEastAsia" w:hAnsiTheme="minorEastAsia" w:eastAsiaTheme="minorEastAsia" w:cstheme="minorEastAsia"/>
                <w:b w:val="0"/>
                <w:bCs w:val="0"/>
                <w:sz w:val="22"/>
                <w:szCs w:val="22"/>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收入</w:t>
            </w:r>
          </w:p>
        </w:tc>
        <w:tc>
          <w:tcPr>
            <w:tcW w:w="947" w:type="pct"/>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w:t>
            </w:r>
          </w:p>
        </w:tc>
        <w:tc>
          <w:tcPr>
            <w:tcW w:w="1087" w:type="pct"/>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一、一般公共预算财政拨款收入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199,865,172.55</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一、一般公共服务支出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二、政府性基金预算财政拨款收入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122,979,707.04</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二、公共安全支出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三、国有资本经营预算财政拨款收入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三、教育支出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四、财政专户管理资金</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四、科学技术支出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五、事业收入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五、文化旅游体育与传媒支出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六、事业单位经营收入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六、社会保障和就业支出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610,666.32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七、上级补助收入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七、卫生健康支出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305,334.27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八、附属单位上缴收入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八、节能环保支出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九、其他收入</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97,674.82</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九、城乡社区支出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1,360,000.00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十、农林水支出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184,785,788.43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十一、交通运输支出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十二、资源勘探工业信息等支出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十三、商业服务业等支出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十四、金融支出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十五、援助其他地区支出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十六、自然资源海洋气象等支出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十七、住房保障支出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十八、粮油物资储备支出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十九、国有资本经营预算支出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二十、灾害防治及应急管理支出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二十一、其他支出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二十二、债务付息支出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二十三、抗疫特别国债安排的支出</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本年收入合计</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322,942,554.41</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本年支出合计</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356,029,103.04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十、使用非财政拨款结余</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二十四、结余分配</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十一、年初结转和结余</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64,408,790.65</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二十五、年末结转和结余</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31,322,242.02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其中：财政拨款结转和结余</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64,362,304.38</w:t>
            </w:r>
          </w:p>
        </w:tc>
        <w:tc>
          <w:tcPr>
            <w:tcW w:w="1285"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其他结转和结余</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46,486.27</w:t>
            </w:r>
          </w:p>
        </w:tc>
        <w:tc>
          <w:tcPr>
            <w:tcW w:w="1285"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收入总计</w:t>
            </w:r>
          </w:p>
        </w:tc>
        <w:tc>
          <w:tcPr>
            <w:tcW w:w="9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387,351,345.06</w:t>
            </w:r>
          </w:p>
        </w:tc>
        <w:tc>
          <w:tcPr>
            <w:tcW w:w="128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支出总计</w:t>
            </w:r>
          </w:p>
        </w:tc>
        <w:tc>
          <w:tcPr>
            <w:tcW w:w="10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387,351,345.06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注：本表反映本年度的总收支和年末结转结余情况。财政专户管理资金是指教育收费；事业收入不含教育收费。</w:t>
            </w:r>
          </w:p>
        </w:tc>
      </w:tr>
    </w:tbl>
    <w:p>
      <w:pPr>
        <w:rPr>
          <w:rFonts w:hint="eastAsia" w:asciiTheme="minorEastAsia" w:hAnsiTheme="minorEastAsia" w:eastAsiaTheme="minorEastAsia" w:cstheme="minorEastAsia"/>
          <w:b w:val="0"/>
          <w:bCs w:val="0"/>
          <w:sz w:val="22"/>
          <w:szCs w:val="22"/>
          <w:lang w:val="en-US" w:eastAsia="zh-CN"/>
        </w:rPr>
      </w:pPr>
      <w:r>
        <w:rPr>
          <w:rFonts w:hint="eastAsia" w:asciiTheme="minorEastAsia" w:hAnsiTheme="minorEastAsia" w:eastAsiaTheme="minorEastAsia" w:cstheme="minorEastAsia"/>
          <w:b w:val="0"/>
          <w:bCs w:val="0"/>
          <w:sz w:val="22"/>
          <w:szCs w:val="22"/>
          <w:highlight w:val="none"/>
          <w:u w:val="none"/>
          <w:lang w:val="en-US" w:eastAsia="zh-CN"/>
        </w:rPr>
        <w:br w:type="page"/>
      </w:r>
    </w:p>
    <w:p>
      <w:pPr>
        <w:pStyle w:val="28"/>
        <w:keepNext w:val="0"/>
        <w:keepLines w:val="0"/>
        <w:widowControl/>
        <w:suppressLineNumbers w:val="0"/>
        <w:jc w:val="left"/>
        <w:rPr>
          <w:rFonts w:hint="eastAsia" w:ascii="仿宋" w:hAnsi="仿宋" w:eastAsia="仿宋" w:cs="仿宋"/>
          <w:b/>
          <w:bCs/>
          <w:color w:val="000000"/>
          <w:sz w:val="30"/>
          <w:szCs w:val="30"/>
        </w:rPr>
      </w:pPr>
      <w:r>
        <w:rPr>
          <w:rFonts w:hint="eastAsia" w:ascii="仿宋" w:hAnsi="仿宋" w:eastAsia="仿宋" w:cs="仿宋"/>
          <w:b/>
          <w:bCs/>
          <w:color w:val="000000"/>
          <w:sz w:val="30"/>
          <w:szCs w:val="30"/>
          <w:lang w:val="en-US" w:eastAsia="zh-CN"/>
        </w:rPr>
        <w:t>二、收入决算表(按功能分类列示)</w:t>
      </w:r>
      <w:r>
        <w:rPr>
          <w:rFonts w:hint="eastAsia" w:ascii="仿宋" w:hAnsi="仿宋" w:eastAsia="仿宋" w:cs="仿宋"/>
          <w:b/>
          <w:bCs/>
          <w:color w:val="000000"/>
          <w:sz w:val="30"/>
          <w:szCs w:val="30"/>
        </w:rPr>
        <w:t xml:space="preserve">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27"/>
        <w:gridCol w:w="2888"/>
        <w:gridCol w:w="1387"/>
        <w:gridCol w:w="1250"/>
        <w:gridCol w:w="1300"/>
        <w:gridCol w:w="1238"/>
        <w:gridCol w:w="1175"/>
        <w:gridCol w:w="1246"/>
        <w:gridCol w:w="1216"/>
        <w:gridCol w:w="12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548" w:type="pct"/>
            <w:gridSpan w:val="9"/>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部门（单位）：天津市东丽区农业农村委员会（本级） </w:t>
            </w:r>
          </w:p>
        </w:tc>
        <w:tc>
          <w:tcPr>
            <w:tcW w:w="451"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项      目</w:t>
            </w:r>
          </w:p>
        </w:tc>
        <w:tc>
          <w:tcPr>
            <w:tcW w:w="495"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本年收入合计</w:t>
            </w:r>
          </w:p>
        </w:tc>
        <w:tc>
          <w:tcPr>
            <w:tcW w:w="446"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财政拨款收入</w:t>
            </w:r>
          </w:p>
        </w:tc>
        <w:tc>
          <w:tcPr>
            <w:tcW w:w="464"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上级补助收入</w:t>
            </w:r>
          </w:p>
        </w:tc>
        <w:tc>
          <w:tcPr>
            <w:tcW w:w="862" w:type="pct"/>
            <w:gridSpan w:val="2"/>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事业收入</w:t>
            </w:r>
          </w:p>
        </w:tc>
        <w:tc>
          <w:tcPr>
            <w:tcW w:w="445"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经营收入</w:t>
            </w:r>
          </w:p>
        </w:tc>
        <w:tc>
          <w:tcPr>
            <w:tcW w:w="434"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附属单位上缴收入</w:t>
            </w:r>
          </w:p>
        </w:tc>
        <w:tc>
          <w:tcPr>
            <w:tcW w:w="451"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6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科目编码</w:t>
            </w:r>
          </w:p>
        </w:tc>
        <w:tc>
          <w:tcPr>
            <w:tcW w:w="10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科目名称</w:t>
            </w:r>
          </w:p>
        </w:tc>
        <w:tc>
          <w:tcPr>
            <w:tcW w:w="495"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15"/>
                <w:szCs w:val="15"/>
                <w:u w:val="none"/>
              </w:rPr>
            </w:pPr>
          </w:p>
        </w:tc>
        <w:tc>
          <w:tcPr>
            <w:tcW w:w="446"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15"/>
                <w:szCs w:val="15"/>
                <w:u w:val="none"/>
              </w:rPr>
            </w:pPr>
          </w:p>
        </w:tc>
        <w:tc>
          <w:tcPr>
            <w:tcW w:w="464"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小计</w:t>
            </w:r>
          </w:p>
        </w:tc>
        <w:tc>
          <w:tcPr>
            <w:tcW w:w="4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其中：教育收费</w:t>
            </w:r>
          </w:p>
        </w:tc>
        <w:tc>
          <w:tcPr>
            <w:tcW w:w="445"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399" w:type="pct"/>
            <w:gridSpan w:val="2"/>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合计</w:t>
            </w:r>
          </w:p>
        </w:tc>
        <w:tc>
          <w:tcPr>
            <w:tcW w:w="495"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322,942,554.41</w:t>
            </w:r>
          </w:p>
        </w:tc>
        <w:tc>
          <w:tcPr>
            <w:tcW w:w="446"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322,844,879.59</w:t>
            </w:r>
          </w:p>
        </w:tc>
        <w:tc>
          <w:tcPr>
            <w:tcW w:w="464"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nil"/>
              <w:left w:val="nil"/>
              <w:bottom w:val="nil"/>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97,674.82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社会保障和就业支出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610,666.32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610,666.32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行政事业单位养老支出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610,666.32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610,666.32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2080505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机关事业单位基本养老保险缴费支出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407,110.88</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407,110.88</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2080506</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机关事业单位职业年金缴费支出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203,555.44</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203,555.44</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卫生健康支出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305,334.27</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305,334.27</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21011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行政事业单位医疗</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305,334.27</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305,334.27</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2101101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行政单位医疗</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254,445.41</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254,445.41</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2101103</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公务员医疗补助</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50,888.86</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50,888.86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节能环保支出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14,154,444.00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14,154,444.00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21103</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污染防治</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14,154,444.00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14,154,444.00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2110302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水体</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14,154,444.00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14,154,444.00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城乡社区支出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1,360,000.00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1,360,000.00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21208</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国有土地使用权出让收入安排的支出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1,360,000.00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1,360,000.00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2120814</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农业生产发展支出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640,000.00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640,000.00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2120816</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农业农村生态环境支出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720,000.00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720,000.00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农林水支出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184,892,402.78</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184,794,727.96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97,674.82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农业农村</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65,936,341.98</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65,838,667.16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97,674.82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2130101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行政运行</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6,346,373.21</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6,248,698.39</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97,674.82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2130106</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科技转化与推广服务</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70,000.00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70,000.00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2130109</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农产品质量安全</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1,635,305.00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1,635,305.00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2130120</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稳定农民收入补贴</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8,533,300.90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8,533,300.90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2130122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农业生产发展</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848,512.87</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848,512.87</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2130124</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农村合作经济</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100,000.00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100,000.00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2130135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农业生态资源保护</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1,682,850.00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1,682,850.00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2130153</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耕地建设与利用</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46,720,000.00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46,720,000.00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林业和草原</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115,249,700.00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115,249,700.00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2130237</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行业业务管理</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115,249,700.00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115,249,700.00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巩固</w:t>
            </w:r>
            <w:r>
              <w:rPr>
                <w:rFonts w:hint="eastAsia" w:asciiTheme="minorEastAsia" w:hAnsiTheme="minorEastAsia" w:cstheme="minorEastAsia"/>
                <w:b w:val="0"/>
                <w:bCs w:val="0"/>
                <w:i w:val="0"/>
                <w:iCs w:val="0"/>
                <w:color w:val="000000"/>
                <w:kern w:val="0"/>
                <w:sz w:val="15"/>
                <w:szCs w:val="15"/>
                <w:u w:val="none"/>
                <w:lang w:val="en-US" w:eastAsia="zh-CN" w:bidi="ar"/>
              </w:rPr>
              <w:t>拓展</w:t>
            </w: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脱贫攻坚成果衔接乡村振兴</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600,000.00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600,000.00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2130505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生产发展</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600,000.00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600,000.00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21307</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农村综合改革</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3,000,000.00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3,000,000.00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2130701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对村级公益事业建设的补助</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3,000,000.00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3,000,000.00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21308</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普惠金融发展支出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106,360.80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106,360.80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2130803</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农业保险保费补贴</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106,360.80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106,360.80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资源勘探工业信息等支出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21598</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超长期特别国债安排的支出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2159802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制造业</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41,000.00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41,000.00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229</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其他支出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121,578,707.04</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121,578,707.04</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22904</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其他政府性基金及对应专项债务收入安排的支出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121,578,707.04</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121,578,707.04</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2290402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其他地方自行试点项目收益专项债券收入安排的支出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121,578,707.04</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r>
              <w:rPr>
                <w:rFonts w:hint="eastAsia" w:asciiTheme="minorEastAsia" w:hAnsiTheme="minorEastAsia" w:eastAsiaTheme="minorEastAsia" w:cstheme="minorEastAsia"/>
                <w:b w:val="0"/>
                <w:bCs w:val="0"/>
                <w:i w:val="0"/>
                <w:iCs w:val="0"/>
                <w:color w:val="000000"/>
                <w:kern w:val="0"/>
                <w:sz w:val="15"/>
                <w:szCs w:val="15"/>
                <w:u w:val="none"/>
                <w:lang w:val="en-US" w:eastAsia="zh-CN" w:bidi="ar"/>
              </w:rPr>
              <w:t>121,578,707.04</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注：本表反映本年度取得的各项收入情况。</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三、收入决算表(按单位列示)</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7"/>
        <w:gridCol w:w="1050"/>
        <w:gridCol w:w="550"/>
        <w:gridCol w:w="613"/>
        <w:gridCol w:w="650"/>
        <w:gridCol w:w="612"/>
        <w:gridCol w:w="663"/>
        <w:gridCol w:w="712"/>
        <w:gridCol w:w="650"/>
        <w:gridCol w:w="688"/>
        <w:gridCol w:w="650"/>
        <w:gridCol w:w="662"/>
        <w:gridCol w:w="353"/>
        <w:gridCol w:w="260"/>
        <w:gridCol w:w="625"/>
        <w:gridCol w:w="700"/>
        <w:gridCol w:w="712"/>
        <w:gridCol w:w="688"/>
        <w:gridCol w:w="712"/>
        <w:gridCol w:w="638"/>
        <w:gridCol w:w="638"/>
        <w:gridCol w:w="6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153" w:type="pct"/>
            <w:gridSpan w:val="9"/>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 xml:space="preserve">部门（单位）：天津市东丽区农业农村委员会（本级） </w:t>
            </w:r>
          </w:p>
        </w:tc>
        <w:tc>
          <w:tcPr>
            <w:tcW w:w="245"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32"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36"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126"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316" w:type="pct"/>
            <w:gridSpan w:val="2"/>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50"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54"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45"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54"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227" w:type="pct"/>
            <w:tcBorders>
              <w:top w:val="nil"/>
              <w:left w:val="nil"/>
              <w:bottom w:val="nil"/>
              <w:right w:val="nil"/>
            </w:tcBorders>
            <w:shd w:val="clear" w:color="auto" w:fill="auto"/>
            <w:noWrap/>
            <w:vAlign w:val="bottom"/>
          </w:tcPr>
          <w:p>
            <w:pPr>
              <w:rPr>
                <w:rFonts w:hint="eastAsia" w:asciiTheme="minorEastAsia" w:hAnsiTheme="minorEastAsia" w:eastAsiaTheme="minorEastAsia" w:cstheme="minorEastAsia"/>
                <w:b w:val="0"/>
                <w:bCs w:val="0"/>
                <w:i w:val="0"/>
                <w:iCs w:val="0"/>
                <w:color w:val="000000"/>
                <w:sz w:val="18"/>
                <w:szCs w:val="18"/>
                <w:u w:val="none"/>
              </w:rPr>
            </w:pPr>
          </w:p>
        </w:tc>
        <w:tc>
          <w:tcPr>
            <w:tcW w:w="456" w:type="pct"/>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部门（单位）代码</w:t>
            </w:r>
          </w:p>
        </w:tc>
        <w:tc>
          <w:tcPr>
            <w:tcW w:w="375" w:type="pct"/>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部门（单位）名称</w:t>
            </w:r>
          </w:p>
        </w:tc>
        <w:tc>
          <w:tcPr>
            <w:tcW w:w="196" w:type="pct"/>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合计</w:t>
            </w:r>
          </w:p>
        </w:tc>
        <w:tc>
          <w:tcPr>
            <w:tcW w:w="2327" w:type="pct"/>
            <w:gridSpan w:val="11"/>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本年收入</w:t>
            </w:r>
          </w:p>
        </w:tc>
        <w:tc>
          <w:tcPr>
            <w:tcW w:w="1912" w:type="pct"/>
            <w:gridSpan w:val="8"/>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上年结转和结余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375"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196"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19"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232"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一般公共预算</w:t>
            </w:r>
          </w:p>
        </w:tc>
        <w:tc>
          <w:tcPr>
            <w:tcW w:w="218"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政府性基金预算</w:t>
            </w:r>
          </w:p>
        </w:tc>
        <w:tc>
          <w:tcPr>
            <w:tcW w:w="236"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国有资本经营预算</w:t>
            </w:r>
          </w:p>
        </w:tc>
        <w:tc>
          <w:tcPr>
            <w:tcW w:w="254"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财政专户管理资金</w:t>
            </w:r>
          </w:p>
        </w:tc>
        <w:tc>
          <w:tcPr>
            <w:tcW w:w="232"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事业收入</w:t>
            </w:r>
          </w:p>
        </w:tc>
        <w:tc>
          <w:tcPr>
            <w:tcW w:w="245"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事业单位经营收入</w:t>
            </w:r>
          </w:p>
        </w:tc>
        <w:tc>
          <w:tcPr>
            <w:tcW w:w="232"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上级补助收入</w:t>
            </w:r>
          </w:p>
        </w:tc>
        <w:tc>
          <w:tcPr>
            <w:tcW w:w="236"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附属单位上缴收入</w:t>
            </w:r>
          </w:p>
        </w:tc>
        <w:tc>
          <w:tcPr>
            <w:tcW w:w="219" w:type="pct"/>
            <w:gridSpan w:val="2"/>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其他收入</w:t>
            </w:r>
          </w:p>
        </w:tc>
        <w:tc>
          <w:tcPr>
            <w:tcW w:w="223" w:type="pct"/>
            <w:vMerge w:val="restar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1004" w:type="pct"/>
            <w:gridSpan w:val="4"/>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财政拨款结转结余</w:t>
            </w:r>
          </w:p>
        </w:tc>
        <w:tc>
          <w:tcPr>
            <w:tcW w:w="684" w:type="pct"/>
            <w:gridSpan w:val="3"/>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非财政拨款结转结余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375"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196"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19"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18"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54"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45"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36"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19" w:type="pct"/>
            <w:gridSpan w:val="2"/>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23" w:type="pct"/>
            <w:vMerge w:val="continue"/>
            <w:tcBorders>
              <w:top w:val="nil"/>
              <w:left w:val="nil"/>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b w:val="0"/>
                <w:bCs w:val="0"/>
                <w:i w:val="0"/>
                <w:iCs w:val="0"/>
                <w:color w:val="000000"/>
                <w:sz w:val="13"/>
                <w:szCs w:val="13"/>
                <w:u w:val="none"/>
              </w:rPr>
            </w:pPr>
          </w:p>
        </w:tc>
        <w:tc>
          <w:tcPr>
            <w:tcW w:w="250"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254"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一般公共预算</w:t>
            </w:r>
          </w:p>
        </w:tc>
        <w:tc>
          <w:tcPr>
            <w:tcW w:w="245"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政府性基金预算</w:t>
            </w:r>
          </w:p>
        </w:tc>
        <w:tc>
          <w:tcPr>
            <w:tcW w:w="254"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国有资本经营预算</w:t>
            </w:r>
          </w:p>
        </w:tc>
        <w:tc>
          <w:tcPr>
            <w:tcW w:w="227"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小计</w:t>
            </w:r>
          </w:p>
        </w:tc>
        <w:tc>
          <w:tcPr>
            <w:tcW w:w="227"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财政专户管理资金</w:t>
            </w:r>
          </w:p>
        </w:tc>
        <w:tc>
          <w:tcPr>
            <w:tcW w:w="228" w:type="pct"/>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3"/>
                <w:szCs w:val="13"/>
                <w:u w:val="none"/>
              </w:rPr>
            </w:pPr>
            <w:r>
              <w:rPr>
                <w:rFonts w:hint="eastAsia" w:asciiTheme="minorEastAsia" w:hAnsiTheme="minorEastAsia" w:eastAsiaTheme="minorEastAsia" w:cstheme="minorEastAsia"/>
                <w:b w:val="0"/>
                <w:bCs w:val="0"/>
                <w:i w:val="0"/>
                <w:iCs w:val="0"/>
                <w:color w:val="000000"/>
                <w:kern w:val="0"/>
                <w:sz w:val="13"/>
                <w:szCs w:val="13"/>
                <w:u w:val="none"/>
                <w:lang w:val="en-US" w:eastAsia="zh-CN" w:bidi="ar"/>
              </w:rPr>
              <w:t>单位资金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563" w:type="pct"/>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合计</w:t>
            </w:r>
          </w:p>
        </w:tc>
        <w:tc>
          <w:tcPr>
            <w:tcW w:w="19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387,351,345.06</w:t>
            </w:r>
          </w:p>
        </w:tc>
        <w:tc>
          <w:tcPr>
            <w:tcW w:w="21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322,942,554.41</w:t>
            </w:r>
          </w:p>
        </w:tc>
        <w:tc>
          <w:tcPr>
            <w:tcW w:w="2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199,865,172.55</w:t>
            </w:r>
          </w:p>
        </w:tc>
        <w:tc>
          <w:tcPr>
            <w:tcW w:w="21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122,979,707.04</w:t>
            </w:r>
          </w:p>
        </w:tc>
        <w:tc>
          <w:tcPr>
            <w:tcW w:w="6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6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6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6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6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97,674.82</w:t>
            </w:r>
          </w:p>
        </w:tc>
        <w:tc>
          <w:tcPr>
            <w:tcW w:w="6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64,408,790.65</w:t>
            </w:r>
          </w:p>
        </w:tc>
        <w:tc>
          <w:tcPr>
            <w:tcW w:w="7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64,362,304.38</w:t>
            </w:r>
          </w:p>
        </w:tc>
        <w:tc>
          <w:tcPr>
            <w:tcW w:w="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260,505.75</w:t>
            </w:r>
          </w:p>
        </w:tc>
        <w:tc>
          <w:tcPr>
            <w:tcW w:w="6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64,101,798.63</w:t>
            </w:r>
          </w:p>
        </w:tc>
        <w:tc>
          <w:tcPr>
            <w:tcW w:w="7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6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46,486.27</w:t>
            </w:r>
          </w:p>
        </w:tc>
        <w:tc>
          <w:tcPr>
            <w:tcW w:w="22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2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46,486.27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328101</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天津市东丽区农业农村委员会（本级）</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387,351,345.06</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322,942,554.41</w:t>
            </w: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199,865,172.55</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122,979,707.04</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97,674.82</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64,408,790.65</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64,362,304.38</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260,505.75</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64,101,798.63</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46,486.27</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11"/>
                <w:szCs w:val="11"/>
                <w:u w:val="none"/>
              </w:rPr>
            </w:pPr>
            <w:r>
              <w:rPr>
                <w:rFonts w:hint="eastAsia" w:asciiTheme="minorEastAsia" w:hAnsiTheme="minorEastAsia" w:eastAsiaTheme="minorEastAsia" w:cstheme="minorEastAsia"/>
                <w:b w:val="0"/>
                <w:bCs w:val="0"/>
                <w:i w:val="0"/>
                <w:iCs w:val="0"/>
                <w:color w:val="000000"/>
                <w:kern w:val="0"/>
                <w:sz w:val="11"/>
                <w:szCs w:val="11"/>
                <w:u w:val="none"/>
                <w:lang w:val="en-US" w:eastAsia="zh-CN" w:bidi="ar"/>
              </w:rPr>
              <w:t>46,486.27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2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 w:val="0"/>
                <w:bCs w:val="0"/>
                <w:i w:val="0"/>
                <w:iCs w:val="0"/>
                <w:color w:val="000000"/>
                <w:kern w:val="0"/>
                <w:sz w:val="18"/>
                <w:szCs w:val="18"/>
                <w:u w:val="none"/>
                <w:lang w:val="en-US" w:eastAsia="zh-CN" w:bidi="ar"/>
              </w:rPr>
              <w:t>注：本表反映本年度取得的各项收入情况。财政专户管理资金是指教育收费；事业收入不含教育收费。</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四、支出决算表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5"/>
        <w:gridCol w:w="2188"/>
        <w:gridCol w:w="1845"/>
        <w:gridCol w:w="1800"/>
        <w:gridCol w:w="1800"/>
        <w:gridCol w:w="1815"/>
        <w:gridCol w:w="1628"/>
        <w:gridCol w:w="15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32" w:type="pct"/>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部门（单位）：天津市东丽区农业农村委员会（本级） </w:t>
            </w:r>
          </w:p>
        </w:tc>
        <w:tc>
          <w:tcPr>
            <w:tcW w:w="56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支出功能分类科目</w:t>
            </w:r>
          </w:p>
        </w:tc>
        <w:tc>
          <w:tcPr>
            <w:tcW w:w="659"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本年支出合计</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基本支出</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项目支出</w:t>
            </w:r>
          </w:p>
        </w:tc>
        <w:tc>
          <w:tcPr>
            <w:tcW w:w="648"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上缴上级支出</w:t>
            </w:r>
          </w:p>
        </w:tc>
        <w:tc>
          <w:tcPr>
            <w:tcW w:w="581"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经营支出</w:t>
            </w:r>
          </w:p>
        </w:tc>
        <w:tc>
          <w:tcPr>
            <w:tcW w:w="567"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781"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59"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356,029,103.04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6,542,913.45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349,486,189.59</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社会保障和就业支出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610,666.32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610,666.32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行政事业单位养老支出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610,666.32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610,666.32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2080505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机关事业单位基本养老保险缴费支出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407,110.88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407,110.88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2080506</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机关事业单位职业年金缴费支出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203,555.44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203,555.44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卫生健康支出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305,334.27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305,334.27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21011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305,334.27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305,334.27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2101101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254,445.41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254,445.41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2101103</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公务员医疗补助</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50,888.86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50,888.86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节能环保支出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21103</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污染防治</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2110302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水体</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城乡社区支出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1,360,000.00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1,360,000.00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国有土地使用权出让收入安排的支出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1,360,000.00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1,360,000.00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2120814</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农业生产发展支出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2120816</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农业农村生态环境支出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720,000.00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720,000.00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农林水支出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184,785,788.43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5,626,912.86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179,158,875.57</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农业农村</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65,829,727.63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5,626,912.86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60,202,814.77</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行政运行</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6,239,758.86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5,626,912.86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612,846.00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2130106</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科技转化与推广服务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2130109</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农产品质量安全</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1,635,305.00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1,635,305.00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2130120</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稳定农民收入补贴</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8,533,300.90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8,533,300.90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农业生产发展</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848,512.87</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848,512.87</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2130124</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农村合作经济</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2130135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农业生态资源保护</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1,682,850.00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1,682,850.00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2130153</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耕地建设与利用</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46,720,000.00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46,720,000.00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林业和草原</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115,249,700.00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115,249,700.00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2130237</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行业业务管理</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115,249,700.00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115,249,700.00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巩固</w:t>
            </w:r>
            <w:r>
              <w:rPr>
                <w:rFonts w:hint="eastAsia" w:asciiTheme="minorEastAsia" w:hAnsiTheme="minorEastAsia" w:cstheme="minorEastAsia"/>
                <w:b w:val="0"/>
                <w:bCs w:val="0"/>
                <w:i w:val="0"/>
                <w:iCs w:val="0"/>
                <w:color w:val="000000"/>
                <w:kern w:val="0"/>
                <w:sz w:val="22"/>
                <w:szCs w:val="22"/>
                <w:u w:val="none"/>
                <w:lang w:val="en-US" w:eastAsia="zh-CN" w:bidi="ar"/>
              </w:rPr>
              <w:t>拓展</w:t>
            </w: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脱贫攻坚成果衔接乡村振兴</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2130505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生产发展</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21307</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农村综合改革</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2130701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对村级公益事业建设的补助</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21308</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普惠金融发展支出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2130803</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农业保险保费补贴</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资源勘探工业信息等支出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21598</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超长期特别国债安排的支出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2159802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制造业</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其他政府性基金及对应专项债务收入安排的支出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其他地方自行试点项目收益专项债券收入安排的支出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注：本表反映本年度各项支出情况。</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五、财政拨款收入支出决算总表</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17"/>
        <w:gridCol w:w="1883"/>
        <w:gridCol w:w="2350"/>
        <w:gridCol w:w="1850"/>
        <w:gridCol w:w="1791"/>
        <w:gridCol w:w="1827"/>
        <w:gridCol w:w="19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294" w:type="pct"/>
            <w:gridSpan w:val="6"/>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部门（单位）：天津市东丽区农业农村委员会（本级） </w:t>
            </w:r>
          </w:p>
        </w:tc>
        <w:tc>
          <w:tcPr>
            <w:tcW w:w="705"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收入</w:t>
            </w:r>
          </w:p>
        </w:tc>
        <w:tc>
          <w:tcPr>
            <w:tcW w:w="3499" w:type="pct"/>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    目</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一般公共预算财政拨款</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政府性基金预算财政拨款</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199,865,172.55</w:t>
            </w: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一、一般公共服务支出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122,979,707.04</w:t>
            </w: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二、公共安全支出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三、教育支出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四、科学技术支出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五、文化旅游体育与传媒支出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六、社会保障和就业支出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610,666.32</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610,666.32</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七、卫生健康支出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305,334.27</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305,334.27</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八、节能环保支出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九、城乡社区支出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1,360,000.00</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1,360,000.00</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十、农林水支出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184,785,788.43</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184,785,788.43</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十一、交通运输支出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十二、资源勘探工业信息等支出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十三、商业服务业等支出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十四、金融支出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十五、援助其他地区支出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十六、自然资源海洋气象等支出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十七、住房保障支出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十八、粮油物资储备支出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十九、国有资本经营预算支出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二十、灾害防治及应急管理支出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二十一、其他支出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二十二、债务付息支出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二十三、抗疫特别国债安排的支出</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本年收入合计</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322,844,879.59</w:t>
            </w: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本年支出合计</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356,029,103.04</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199,856,233.02</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156,172,870.02</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年初财政拨款结转和结余</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64,362,304.38</w:t>
            </w: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年末财政拨款结转和结余</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31,178,080.93</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269,445.28</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30,908,635.65</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260,505.75</w:t>
            </w:r>
          </w:p>
        </w:tc>
        <w:tc>
          <w:tcPr>
            <w:tcW w:w="839"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64,101,798.63</w:t>
            </w:r>
          </w:p>
        </w:tc>
        <w:tc>
          <w:tcPr>
            <w:tcW w:w="839"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387,207,183.97</w:t>
            </w:r>
          </w:p>
        </w:tc>
        <w:tc>
          <w:tcPr>
            <w:tcW w:w="83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61"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387,207,183.97</w:t>
            </w:r>
          </w:p>
        </w:tc>
        <w:tc>
          <w:tcPr>
            <w:tcW w:w="64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200,125,678.30</w:t>
            </w:r>
          </w:p>
        </w:tc>
        <w:tc>
          <w:tcPr>
            <w:tcW w:w="65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187,081,505.67</w:t>
            </w:r>
          </w:p>
        </w:tc>
        <w:tc>
          <w:tcPr>
            <w:tcW w:w="70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注：本表反映本年度一般公共预算财政拨款、政府性基金预算财政拨款和国有资本经营预算财政拨款的总收支和年末结转结余情况。</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numPr>
          <w:ilvl w:val="0"/>
          <w:numId w:val="2"/>
        </w:numPr>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一般公共预算财政拨款支出决算表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19"/>
        <w:gridCol w:w="4092"/>
        <w:gridCol w:w="1800"/>
        <w:gridCol w:w="1662"/>
        <w:gridCol w:w="1738"/>
        <w:gridCol w:w="1708"/>
        <w:gridCol w:w="16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02" w:type="pct"/>
            <w:gridSpan w:val="6"/>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ascii="宋体-简" w:hAnsi="宋体-简" w:eastAsia="宋体-简" w:cs="宋体-简"/>
                <w:i w:val="0"/>
                <w:iCs w:val="0"/>
                <w:color w:val="000000"/>
                <w:sz w:val="20"/>
                <w:szCs w:val="20"/>
                <w:u w:val="none"/>
              </w:rPr>
            </w:pPr>
            <w:r>
              <w:rPr>
                <w:rFonts w:hint="eastAsia" w:ascii="宋体-简" w:hAnsi="宋体-简" w:eastAsia="宋体-简" w:cs="宋体-简"/>
                <w:i w:val="0"/>
                <w:iCs w:val="0"/>
                <w:color w:val="000000"/>
                <w:kern w:val="0"/>
                <w:sz w:val="20"/>
                <w:szCs w:val="20"/>
                <w:u w:val="none"/>
                <w:lang w:val="en-US" w:eastAsia="zh-CN" w:bidi="ar"/>
              </w:rPr>
              <w:t>部门（单位）：</w:t>
            </w:r>
            <w:r>
              <w:rPr>
                <w:rFonts w:ascii="Arial" w:hAnsi="Arial" w:eastAsia="宋体-简" w:cs="Arial"/>
                <w:i w:val="0"/>
                <w:iCs w:val="0"/>
                <w:color w:val="000000"/>
                <w:kern w:val="0"/>
                <w:sz w:val="20"/>
                <w:szCs w:val="20"/>
                <w:u w:val="none"/>
                <w:lang w:val="en-US" w:eastAsia="zh-CN" w:bidi="ar"/>
              </w:rPr>
              <w:t xml:space="preserve">天津市东丽区农业农村委员会（本级） </w:t>
            </w:r>
          </w:p>
        </w:tc>
        <w:tc>
          <w:tcPr>
            <w:tcW w:w="59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9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支出功能分类科目</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1825" w:type="pct"/>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基本支出  </w:t>
            </w:r>
          </w:p>
        </w:tc>
        <w:tc>
          <w:tcPr>
            <w:tcW w:w="597"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科目编码</w:t>
            </w:r>
          </w:p>
        </w:tc>
        <w:tc>
          <w:tcPr>
            <w:tcW w:w="1462"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科目名称</w:t>
            </w: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c>
          <w:tcPr>
            <w:tcW w:w="593"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小计</w:t>
            </w:r>
          </w:p>
        </w:tc>
        <w:tc>
          <w:tcPr>
            <w:tcW w:w="621"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人员经费</w:t>
            </w:r>
          </w:p>
        </w:tc>
        <w:tc>
          <w:tcPr>
            <w:tcW w:w="610"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公用经费</w:t>
            </w:r>
          </w:p>
        </w:tc>
        <w:tc>
          <w:tcPr>
            <w:tcW w:w="597"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9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199,856,233.02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6,542,913.45</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5,617,905.57</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925,007.88</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193,313,319.57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社会保障和就业支出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610,666.32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610,666.32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610,666.32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行政事业单位养老支出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610,666.32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610,666.32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610,666.32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2080505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机关事业单位基本养老保险缴费支出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407,110.88</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407,110.88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407,110.88</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2080506</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机关事业单位职业年金缴费支出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203,555.44</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203,555.44</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203,555.44</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卫生健康支出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305,334.27</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305,334.27</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305,334.27</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21011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行政事业单位医疗</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305,334.27</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305,334.27</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305,334.27</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2101101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行政单位医疗</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254,445.41</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254,445.41</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254,445.41</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2101103</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公务员医疗补助</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50,888.86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50,888.86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50,888.86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节能环保支出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14,154,444.00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14,154,444.00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21103</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污染防治</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14,154,444.00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14,154,444.00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2110302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水体</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14,154,444.00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14,154,444.00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农林水支出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184,785,788.43</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5,626,912.86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4,701,904.98</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925,007.88</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179,158,875.57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农业农村</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65,829,727.63</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5,626,912.86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4,701,904.98</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925,007.88</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60,202,814.77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2130101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行政运行</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6,239,758.86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5,626,912.86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4,701,904.98</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925,007.88</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612,846.00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2130106</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科技转化与推广服务</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70,000.00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2130109</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农产品质量安全</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1,635,305.00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1,635,305.00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2130120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稳定农民收入补贴</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8,533,300.90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8,533,300.90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2130122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农业生产发展</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848,512.87</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848,512.87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2130124</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农村合作经济</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100,000.00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2130135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农业生态资源保护</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1,682,850.00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1,682,850.00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2130153</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耕地建设与利用</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46,720,000.00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46,720,000.00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林业和草原</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115,249,700.00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115,249,700.00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2130237</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行业业务管理</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115,249,700.00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115,249,700.00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巩固</w:t>
            </w:r>
            <w:r>
              <w:rPr>
                <w:rFonts w:hint="eastAsia" w:asciiTheme="minorEastAsia" w:hAnsiTheme="minorEastAsia" w:cstheme="minorEastAsia"/>
                <w:i w:val="0"/>
                <w:iCs w:val="0"/>
                <w:color w:val="000000"/>
                <w:kern w:val="0"/>
                <w:sz w:val="22"/>
                <w:szCs w:val="22"/>
                <w:u w:val="none"/>
                <w:lang w:val="en-US" w:eastAsia="zh-CN" w:bidi="ar"/>
              </w:rPr>
              <w:t>拓展</w:t>
            </w:r>
            <w:r>
              <w:rPr>
                <w:rFonts w:hint="eastAsia" w:asciiTheme="minorEastAsia" w:hAnsiTheme="minorEastAsia" w:eastAsiaTheme="minorEastAsia" w:cstheme="minorEastAsia"/>
                <w:i w:val="0"/>
                <w:iCs w:val="0"/>
                <w:color w:val="000000"/>
                <w:kern w:val="0"/>
                <w:sz w:val="22"/>
                <w:szCs w:val="22"/>
                <w:u w:val="none"/>
                <w:lang w:val="en-US" w:eastAsia="zh-CN" w:bidi="ar"/>
              </w:rPr>
              <w:t>脱贫攻坚成果衔接乡村振兴</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600,000.00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2130505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生产发展</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600,000.00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21307</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农村综合改革</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3,000,000.00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2130701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对村级公益事业建设的补助</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3,000,000.00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3,000,000.00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21308</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普惠金融发展支出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106,360.80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106,360.80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2130803</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农业保险保费补贴</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106,360.80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106,360.80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注：本表反映本年度一般公共预算财政拨款支出情况。</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七、一般公共预算财政拨款基本支出决算明细表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8"/>
        <w:gridCol w:w="1869"/>
        <w:gridCol w:w="1884"/>
        <w:gridCol w:w="877"/>
        <w:gridCol w:w="1800"/>
        <w:gridCol w:w="1831"/>
        <w:gridCol w:w="1092"/>
        <w:gridCol w:w="1984"/>
        <w:gridCol w:w="1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382" w:type="pct"/>
            <w:gridSpan w:val="8"/>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部门（单位）：天津市东丽区农业农村委员会（本级） </w:t>
            </w:r>
          </w:p>
        </w:tc>
        <w:tc>
          <w:tcPr>
            <w:tcW w:w="61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人员经费</w:t>
            </w:r>
          </w:p>
        </w:tc>
        <w:tc>
          <w:tcPr>
            <w:tcW w:w="3327" w:type="pct"/>
            <w:gridSpan w:val="6"/>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工资福利支出</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5,160,753.15</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商品和服务支出</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925,007.88</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30703</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国内债务发行费用</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30101</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基本工资</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942,255.00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30201</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办公费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33,637.73</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30704</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国外债务发行费用</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30102</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津贴补贴</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1,177,125.60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30202</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印刷费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资本性支出</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30103</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奖金</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825,419.00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30203</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咨询费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31001</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房屋建筑物购建</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30106</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伙食补助费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30204</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手续费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1,657.44</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31002</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办公设备购置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30107</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绩效工资</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30205</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水费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7,196.90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31003</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专用设备购置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30108</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机关事业单位基本养老保险缴费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407,110.88</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30206</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电费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31005</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基础设施建设</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30109</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职业年金缴费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203,555.44</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30207</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邮电费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19,800.00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31006</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大型修缮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30110</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职工基本医疗保险缴费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254,445.41</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30208</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取暖费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74,556.40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31007</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信息网络及软件购置更新</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30111</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公务员医疗补助缴费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50,888.86</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30209</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物业管理费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164,088.00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31008</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物资储备</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30112</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其他社会保障缴费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5,088.96</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30211</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差旅费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5,590.54</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土地补偿</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30113</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住房公积金</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1,294,864.00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30212</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因公出国（境）费用</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31010</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安置补助</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30114</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医疗费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30213</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维修(护)费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6,600.00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31011</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地上附着物和青苗补偿</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30199</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其他工资福利支出</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30214</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租赁费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96,040.00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31012</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拆迁补偿</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457,152.42</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30215</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会议费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31013</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公务用车购置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30301</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离休费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15,424.90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30216</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培训费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330.00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31019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其他交通工具购置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30302</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退休费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310,058.60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30217</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公务接待费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31021</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文物和陈列品购置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30303</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退职（役）费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30218</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专用材料费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31022</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无形资产购置</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30304</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抚恤金</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30224</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被装购置费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31099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其他资本性支出</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30305</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生活补助</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6,265.00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30225</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专用燃料费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对企业补助</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30306</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救济费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30226</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劳务费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31201</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资本金注入</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30307</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医疗费补助</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30227</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委托业务费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31203</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政府投资基金股权投资</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30308</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助学金</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30228</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工会经费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51,283.88</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31204</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费用补贴</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30309</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奖励金</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180.00</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30229</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福利费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73,708.00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31205</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利息补贴</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30310</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个人农业生产补贴</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30231</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公务用车运行维护费</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31206</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其他资本性补助</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30311</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代缴社会保险费</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30239</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其他交通费用</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173,000.00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31299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其他对企业补助</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30399</w:t>
            </w:r>
          </w:p>
        </w:tc>
        <w:tc>
          <w:tcPr>
            <w:tcW w:w="66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125,223.92</w:t>
            </w: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30240</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税金及附加费用</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51,268.99</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其他支出</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30299</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其他商品和服务支出</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106,250.00</w:t>
            </w: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39907</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国家赔偿费用支出</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债务利息及费用支出</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39908</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对民间非营利组织和群众性自治组织补贴</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30701</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国内债务付息</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39909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经常性赠与</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30702</w:t>
            </w:r>
          </w:p>
        </w:tc>
        <w:tc>
          <w:tcPr>
            <w:tcW w:w="6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国外债务付息</w:t>
            </w:r>
          </w:p>
        </w:tc>
        <w:tc>
          <w:tcPr>
            <w:tcW w:w="65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39910</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资本性赠与</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43"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654" w:type="pct"/>
            <w:tcBorders>
              <w:top w:val="nil"/>
              <w:left w:val="nil"/>
              <w:bottom w:val="single" w:color="000000" w:sz="4" w:space="0"/>
              <w:right w:val="single" w:color="000000" w:sz="4" w:space="0"/>
            </w:tcBorders>
            <w:shd w:val="clear" w:color="auto" w:fill="auto"/>
            <w:noWrap/>
            <w:vAlign w:val="center"/>
          </w:tcPr>
          <w:p>
            <w:pPr>
              <w:jc w:val="left"/>
              <w:rPr>
                <w:rFonts w:hint="eastAsia" w:asciiTheme="minorEastAsia" w:hAnsiTheme="minorEastAsia" w:eastAsiaTheme="minorEastAsia" w:cstheme="minorEastAsia"/>
                <w:b w:val="0"/>
                <w:bCs w:val="0"/>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39999</w:t>
            </w:r>
          </w:p>
        </w:tc>
        <w:tc>
          <w:tcPr>
            <w:tcW w:w="70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  其他支出</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999" w:type="pct"/>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人员经费合计</w:t>
            </w:r>
          </w:p>
        </w:tc>
        <w:tc>
          <w:tcPr>
            <w:tcW w:w="6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5,617,905.57</w:t>
            </w:r>
          </w:p>
        </w:tc>
        <w:tc>
          <w:tcPr>
            <w:tcW w:w="2710" w:type="pct"/>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公用经费合计</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925,007.88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注：本表反映本年度一般公共预算财政拨款基本支出明细情况。</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Theme="minorEastAsia" w:hAnsiTheme="minorEastAsia" w:eastAsiaTheme="minorEastAsia" w:cstheme="minorEastAsia"/>
          <w:b w:val="0"/>
          <w:bCs w:val="0"/>
          <w:color w:val="auto"/>
          <w:kern w:val="0"/>
          <w:sz w:val="22"/>
          <w:szCs w:val="22"/>
          <w:highlight w:val="none"/>
        </w:rPr>
      </w:pPr>
      <w:r>
        <w:rPr>
          <w:rFonts w:hint="eastAsia" w:ascii="仿宋" w:hAnsi="仿宋" w:eastAsia="仿宋" w:cs="仿宋"/>
          <w:b/>
          <w:bCs/>
          <w:color w:val="000000"/>
          <w:sz w:val="30"/>
          <w:szCs w:val="30"/>
          <w:lang w:val="en-US" w:eastAsia="zh-CN"/>
        </w:rPr>
        <w:t xml:space="preserve">八、政府性基金预算财政拨款收入支出决算表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81"/>
        <w:gridCol w:w="3851"/>
        <w:gridCol w:w="1510"/>
        <w:gridCol w:w="1537"/>
        <w:gridCol w:w="1429"/>
        <w:gridCol w:w="1428"/>
        <w:gridCol w:w="1509"/>
        <w:gridCol w:w="1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82" w:type="pct"/>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ascii="宋体-简" w:hAnsi="宋体-简" w:eastAsia="宋体-简" w:cs="宋体-简"/>
                <w:i w:val="0"/>
                <w:iCs w:val="0"/>
                <w:color w:val="000000"/>
                <w:sz w:val="20"/>
                <w:szCs w:val="20"/>
                <w:u w:val="none"/>
              </w:rPr>
            </w:pPr>
            <w:r>
              <w:rPr>
                <w:rFonts w:hint="eastAsia" w:ascii="宋体-简" w:hAnsi="宋体-简" w:eastAsia="宋体-简" w:cs="宋体-简"/>
                <w:i w:val="0"/>
                <w:iCs w:val="0"/>
                <w:color w:val="000000"/>
                <w:kern w:val="0"/>
                <w:sz w:val="20"/>
                <w:szCs w:val="20"/>
                <w:u w:val="none"/>
                <w:lang w:val="en-US" w:eastAsia="zh-CN" w:bidi="ar"/>
              </w:rPr>
              <w:t>部门（单位）：</w:t>
            </w:r>
            <w:r>
              <w:rPr>
                <w:rFonts w:ascii="Arial" w:hAnsi="Arial" w:eastAsia="宋体-简" w:cs="Arial"/>
                <w:i w:val="0"/>
                <w:iCs w:val="0"/>
                <w:color w:val="000000"/>
                <w:kern w:val="0"/>
                <w:sz w:val="20"/>
                <w:szCs w:val="20"/>
                <w:u w:val="none"/>
                <w:lang w:val="en-US" w:eastAsia="zh-CN" w:bidi="ar"/>
              </w:rPr>
              <w:t xml:space="preserve">天津市东丽区农业农村委员会（本级） </w:t>
            </w:r>
          </w:p>
        </w:tc>
        <w:tc>
          <w:tcPr>
            <w:tcW w:w="51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支出功能分类科目</w:t>
            </w:r>
          </w:p>
        </w:tc>
        <w:tc>
          <w:tcPr>
            <w:tcW w:w="539"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年初结转和结余</w:t>
            </w:r>
          </w:p>
        </w:tc>
        <w:tc>
          <w:tcPr>
            <w:tcW w:w="549"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本年收入</w:t>
            </w:r>
          </w:p>
        </w:tc>
        <w:tc>
          <w:tcPr>
            <w:tcW w:w="1560" w:type="pct"/>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本年支出</w:t>
            </w:r>
          </w:p>
        </w:tc>
        <w:tc>
          <w:tcPr>
            <w:tcW w:w="517"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5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科目编码</w:t>
            </w:r>
          </w:p>
        </w:tc>
        <w:tc>
          <w:tcPr>
            <w:tcW w:w="1376"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科目名称</w:t>
            </w:r>
          </w:p>
        </w:tc>
        <w:tc>
          <w:tcPr>
            <w:tcW w:w="539"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c>
          <w:tcPr>
            <w:tcW w:w="549"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c>
          <w:tcPr>
            <w:tcW w:w="510"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小计</w:t>
            </w:r>
          </w:p>
        </w:tc>
        <w:tc>
          <w:tcPr>
            <w:tcW w:w="510"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基本支出  </w:t>
            </w:r>
          </w:p>
        </w:tc>
        <w:tc>
          <w:tcPr>
            <w:tcW w:w="539"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项目支出</w:t>
            </w:r>
          </w:p>
        </w:tc>
        <w:tc>
          <w:tcPr>
            <w:tcW w:w="517"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8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64,101,798.63</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122,979,707.04</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156,172,870.02</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156,172,870.02</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30,908,635.65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212</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城乡社区支出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1,360,000.00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1,360,000.00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1,360,000.00</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21208</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国有土地使用权出让收入安排的支出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1,360,000.00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1,360,000.00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1,360,000.00</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2120814</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农业生产发展支出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640,000.00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640,000.00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640,000.00</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2120816</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农业农村生态环境支出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720,000.00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720,000.00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720,000.00</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215</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资源勘探工业信息等支出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21598</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超长期特别国债安排的支出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2159802</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制造业</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41,000.00</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229</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其他支出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64,101,798.63</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121,578,707.04</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154,771,870.02</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154,771,870.02</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30,908,635.65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22904</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其他政府性基金及对应专项债务收入安排的支出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64,101,798.63</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121,578,707.04</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154,771,870.02</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154,771,870.02</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30,908,635.65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2290402</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其他地方自行试点项目收益专项债券收入安排的支出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64,101,798.63</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121,578,707.04</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154,771,870.02</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154,771,870.02</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30,908,635.65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注：本表反映本年度政府性基金预算财政拨款收入、支出及结转和结余情况。</w:t>
            </w:r>
          </w:p>
        </w:tc>
      </w:tr>
    </w:tbl>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Theme="minorEastAsia" w:hAnsiTheme="minorEastAsia" w:eastAsiaTheme="minorEastAsia" w:cstheme="minorEastAsia"/>
          <w:b w:val="0"/>
          <w:bCs w:val="0"/>
          <w:color w:val="auto"/>
          <w:kern w:val="0"/>
          <w:sz w:val="22"/>
          <w:szCs w:val="22"/>
          <w:highlight w:val="none"/>
        </w:rPr>
      </w:pPr>
      <w:r>
        <w:rPr>
          <w:rFonts w:hint="eastAsia" w:ascii="仿宋" w:hAnsi="仿宋" w:eastAsia="仿宋" w:cs="仿宋"/>
          <w:b/>
          <w:bCs/>
          <w:color w:val="000000"/>
          <w:sz w:val="30"/>
          <w:szCs w:val="30"/>
          <w:lang w:val="en-US" w:eastAsia="zh-CN"/>
        </w:rPr>
        <w:t xml:space="preserve">九、国有资本经营预算财政拨款支出决算表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2"/>
        <w:gridCol w:w="3442"/>
        <w:gridCol w:w="1619"/>
        <w:gridCol w:w="1579"/>
        <w:gridCol w:w="1523"/>
        <w:gridCol w:w="1606"/>
        <w:gridCol w:w="1468"/>
        <w:gridCol w:w="14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87" w:type="pct"/>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ascii="宋体-简" w:hAnsi="宋体-简" w:eastAsia="宋体-简" w:cs="宋体-简"/>
                <w:i w:val="0"/>
                <w:iCs w:val="0"/>
                <w:color w:val="000000"/>
                <w:sz w:val="20"/>
                <w:szCs w:val="20"/>
                <w:u w:val="none"/>
              </w:rPr>
            </w:pPr>
            <w:r>
              <w:rPr>
                <w:rFonts w:hint="eastAsia" w:ascii="宋体-简" w:hAnsi="宋体-简" w:eastAsia="宋体-简" w:cs="宋体-简"/>
                <w:i w:val="0"/>
                <w:iCs w:val="0"/>
                <w:color w:val="000000"/>
                <w:kern w:val="0"/>
                <w:sz w:val="20"/>
                <w:szCs w:val="20"/>
                <w:u w:val="none"/>
                <w:lang w:val="en-US" w:eastAsia="zh-CN" w:bidi="ar"/>
              </w:rPr>
              <w:t>部门（单位）：</w:t>
            </w:r>
            <w:r>
              <w:rPr>
                <w:rFonts w:ascii="Arial" w:hAnsi="Arial" w:eastAsia="宋体-简" w:cs="Arial"/>
                <w:i w:val="0"/>
                <w:iCs w:val="0"/>
                <w:color w:val="000000"/>
                <w:kern w:val="0"/>
                <w:sz w:val="20"/>
                <w:szCs w:val="20"/>
                <w:u w:val="none"/>
                <w:lang w:val="en-US" w:eastAsia="zh-CN" w:bidi="ar"/>
              </w:rPr>
              <w:t xml:space="preserve">天津市东丽区农业农村委员会（本级） </w:t>
            </w:r>
          </w:p>
        </w:tc>
        <w:tc>
          <w:tcPr>
            <w:tcW w:w="512"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7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支出功能分类科目</w:t>
            </w:r>
          </w:p>
        </w:tc>
        <w:tc>
          <w:tcPr>
            <w:tcW w:w="5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年初结转和结余</w:t>
            </w:r>
          </w:p>
        </w:tc>
        <w:tc>
          <w:tcPr>
            <w:tcW w:w="5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本年收入</w:t>
            </w:r>
          </w:p>
        </w:tc>
        <w:tc>
          <w:tcPr>
            <w:tcW w:w="164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本年支出</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科目编码</w:t>
            </w:r>
          </w:p>
        </w:tc>
        <w:tc>
          <w:tcPr>
            <w:tcW w:w="1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科目名称</w:t>
            </w:r>
          </w:p>
        </w:tc>
        <w:tc>
          <w:tcPr>
            <w:tcW w:w="5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c>
          <w:tcPr>
            <w:tcW w:w="5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基本支出  </w:t>
            </w:r>
          </w:p>
        </w:tc>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项目支出</w:t>
            </w: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7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注：本表反映本年度国有资本经营预算财政拨款收入、支出及结转和结余情况。</w:t>
            </w:r>
          </w:p>
        </w:tc>
      </w:tr>
    </w:tbl>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天津市东丽区农业农村委员会（本级）2024年国有资本经营预算财政拨款收入支出决算表为空表。</w:t>
      </w:r>
    </w:p>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十、财政拨款“三公”经费支出决算表 </w:t>
      </w:r>
    </w:p>
    <w:tbl>
      <w:tblPr>
        <w:tblStyle w:val="11"/>
        <w:tblW w:w="13638"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69"/>
        <w:gridCol w:w="2108"/>
        <w:gridCol w:w="2400"/>
        <w:gridCol w:w="2385"/>
        <w:gridCol w:w="2430"/>
        <w:gridCol w:w="21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1492" w:type="dxa"/>
            <w:gridSpan w:val="5"/>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部门（单位）：天津市东丽区农业农村委员会（本级） </w:t>
            </w:r>
          </w:p>
        </w:tc>
        <w:tc>
          <w:tcPr>
            <w:tcW w:w="214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16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2108"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因公出国（境）费</w:t>
            </w:r>
          </w:p>
        </w:tc>
        <w:tc>
          <w:tcPr>
            <w:tcW w:w="7215" w:type="dxa"/>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公务用车购置及运行维护费</w:t>
            </w:r>
          </w:p>
        </w:tc>
        <w:tc>
          <w:tcPr>
            <w:tcW w:w="2146"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16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2108"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c>
          <w:tcPr>
            <w:tcW w:w="2400" w:type="dxa"/>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小计</w:t>
            </w:r>
          </w:p>
        </w:tc>
        <w:tc>
          <w:tcPr>
            <w:tcW w:w="2385" w:type="dxa"/>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公务用车购置费</w:t>
            </w:r>
          </w:p>
        </w:tc>
        <w:tc>
          <w:tcPr>
            <w:tcW w:w="2430" w:type="dxa"/>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公务用车运行维护费</w:t>
            </w:r>
          </w:p>
        </w:tc>
        <w:tc>
          <w:tcPr>
            <w:tcW w:w="2146"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21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638" w:type="dxa"/>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注：本表反映本年度“三公”经费支出决算情况。其中决算数是包括当年财政拨款和以前年度结转资金安排的实际支出。</w:t>
            </w:r>
          </w:p>
        </w:tc>
      </w:tr>
    </w:tbl>
    <w:p>
      <w:pPr>
        <w:widowControl/>
        <w:spacing w:before="0" w:beforeLines="0" w:beforeAutospacing="0" w:after="0" w:afterLines="0" w:afterAutospacing="0" w:line="240" w:lineRule="auto"/>
        <w:ind w:firstLine="600" w:firstLineChars="200"/>
        <w:jc w:val="left"/>
        <w:rPr>
          <w:rFonts w:ascii="宋体" w:eastAsia="仿宋_GB2312"/>
          <w:sz w:val="30"/>
          <w:szCs w:val="30"/>
        </w:rPr>
      </w:pPr>
      <w:r>
        <w:rPr>
          <w:rFonts w:ascii="宋体" w:eastAsia="仿宋_GB2312"/>
          <w:b w:val="0"/>
          <w:sz w:val="30"/>
          <w:szCs w:val="30"/>
        </w:rPr>
        <w:t>天津市东丽区农业农村委员会（本级）2024年财政拨款“三公”经费支出决算表为空表。</w:t>
      </w:r>
    </w:p>
    <w:p>
      <w:pPr>
        <w:rPr>
          <w:rFonts w:hint="eastAsia" w:asciiTheme="minorEastAsia" w:hAnsiTheme="minorEastAsia" w:eastAsiaTheme="minorEastAsia" w:cstheme="minorEastAsia"/>
          <w:b w:val="0"/>
          <w:bCs w:val="0"/>
          <w:color w:val="auto"/>
          <w:kern w:val="0"/>
          <w:sz w:val="22"/>
          <w:szCs w:val="22"/>
          <w:highlight w:val="none"/>
        </w:rPr>
      </w:pPr>
      <w:r>
        <w:rPr>
          <w:rFonts w:hint="eastAsia" w:asciiTheme="minorEastAsia" w:hAnsiTheme="minorEastAsia" w:eastAsiaTheme="minorEastAsia" w:cstheme="minorEastAsia"/>
          <w:b w:val="0"/>
          <w:bCs w:val="0"/>
          <w:color w:val="auto"/>
          <w:kern w:val="0"/>
          <w:sz w:val="22"/>
          <w:szCs w:val="22"/>
          <w:highlight w:val="none"/>
        </w:rPr>
        <w:br w:type="page"/>
      </w:r>
    </w:p>
    <w:p>
      <w:pPr>
        <w:pStyle w:val="28"/>
        <w:keepNext w:val="0"/>
        <w:keepLines w:val="0"/>
        <w:widowControl/>
        <w:suppressLineNumbers w:val="0"/>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十一、项目支出决算表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2"/>
        <w:gridCol w:w="2862"/>
        <w:gridCol w:w="1738"/>
        <w:gridCol w:w="1616"/>
        <w:gridCol w:w="1707"/>
        <w:gridCol w:w="1693"/>
        <w:gridCol w:w="1674"/>
        <w:gridCol w:w="15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31" w:type="pct"/>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 xml:space="preserve">部门（单位）：天津市东丽区农业农村委员会（本级） </w:t>
            </w:r>
          </w:p>
        </w:tc>
        <w:tc>
          <w:tcPr>
            <w:tcW w:w="568"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4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项目</w:t>
            </w:r>
          </w:p>
        </w:tc>
        <w:tc>
          <w:tcPr>
            <w:tcW w:w="3579" w:type="pct"/>
            <w:gridSpan w:val="6"/>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9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科目编码</w:t>
            </w:r>
          </w:p>
        </w:tc>
        <w:tc>
          <w:tcPr>
            <w:tcW w:w="1022" w:type="pct"/>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科目名称（二级项目名称）</w:t>
            </w:r>
          </w:p>
        </w:tc>
        <w:tc>
          <w:tcPr>
            <w:tcW w:w="621"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577"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一般公共预算</w:t>
            </w:r>
          </w:p>
        </w:tc>
        <w:tc>
          <w:tcPr>
            <w:tcW w:w="609"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政府性基金预算</w:t>
            </w:r>
          </w:p>
        </w:tc>
        <w:tc>
          <w:tcPr>
            <w:tcW w:w="604"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国有资本经营预算</w:t>
            </w:r>
          </w:p>
        </w:tc>
        <w:tc>
          <w:tcPr>
            <w:tcW w:w="598"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财政专户管理资金</w:t>
            </w:r>
          </w:p>
        </w:tc>
        <w:tc>
          <w:tcPr>
            <w:tcW w:w="568"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单位资金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14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合计</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349,486,189.59</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193,313,319.57</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156,172,870.02</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节能环保支出</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21103</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污染防治</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2110302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水体</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2110302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金钟河沿岸生态修复工程</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14,154,444.00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城乡社区支出</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1,360,000.00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1,360,000.00</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国有土地使用权出让收入安排的支出</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1,360,000.00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1,360,000.00</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2120814</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农业生产发展支出</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640,000.00</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2120814</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大豆油料作物补贴项目—市级资金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640,000.00</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2120816</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农业农村生态环境支出</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720,000.00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720,000.00</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2120816</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2024年农作物秸秆综合利用-市级资金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720,000.00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720,000.00</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农林水支出</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179,158,875.57</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179,158,875.57</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农业农村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60,202,814.77</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60,202,814.77</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2130101</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行政运行</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612,846.00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612,846.00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2130101</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抚恤金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612,846.00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612,846.00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2130106</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科技转化与推广服务</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2130106</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高素质农民培育-中央资金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70,000.00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2130109</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农产品质量安全</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1,635,305.00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1,635,305.00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2130109</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2024年农产品质量安全检测</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1,635,305.00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1,635,305.00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2130120</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稳定农民收入补贴</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8,533,300.90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8,533,300.90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2130120</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2024年耕地地力保护补贴（结算）-市级资金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1,755,000.00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1,755,000.00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2130120</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耕地地力保护补贴-01中央直达资金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3,969,000.00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3,969,000.00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2130120</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耕地地力保护补贴-区级资金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128,300.90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128,300.90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2130120</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2024年耕地地力保护补贴-市级资金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2,681,000.00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2,681,000.00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农业生产发展</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848,512.87</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848,512.87</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市级农机购置与应用补贴资金（第二批）</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大豆油料作物补贴项目—区级资金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124,413.00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124,413.00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2024年农机购置与应用补贴-中央资金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农机购置与应用补贴【2023】中央资金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1,068.00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1,068.00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农机购置与应用补贴支出-中央资金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539,312.00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539,312.00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2024年农机购置与应用补贴-市级资金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42,420.00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42,420.00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农村土地承包经营纠纷调查调解仲裁建设项目</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1,299.87</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1,299.87</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2130124</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农村合作经济</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2130124</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2024年合作社培育-中央资金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2130135</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农业生态资源保护</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1,682,850.00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1,682,850.00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2130135</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农作物秸秆综合利用-区级资金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1,682,850.00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1,682,850.00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2130153</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耕地建设与利用</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46,720,000.00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46,720,000.00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2130153</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增发2023年国债高标准农田建设项目</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2130153</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2024年高标准农田建设项目-01中央直达资金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5,720,000.00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5,720,000.00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林业和草原</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115,249,700.00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115,249,700.00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2130237</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行业业务管理</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115,249,700.00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115,249,700.00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2130237</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天津市东丽区郊野公园PPP项目</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55,769,700.00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55,769,700.00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2130237</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农业农村委林业管护及咨询服务</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2130237</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天津市东丽区林业生态建设PPP项目</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56,480,000.00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56,480,000.00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21305</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巩固</w:t>
            </w:r>
            <w:r>
              <w:rPr>
                <w:rFonts w:hint="eastAsia" w:asciiTheme="minorEastAsia" w:hAnsiTheme="minorEastAsia" w:cstheme="minorEastAsia"/>
                <w:b w:val="0"/>
                <w:bCs w:val="0"/>
                <w:i w:val="0"/>
                <w:iCs w:val="0"/>
                <w:color w:val="000000"/>
                <w:kern w:val="0"/>
                <w:sz w:val="22"/>
                <w:szCs w:val="22"/>
                <w:u w:val="none"/>
                <w:lang w:val="en-US" w:eastAsia="zh-CN" w:bidi="ar"/>
              </w:rPr>
              <w:t>拓展</w:t>
            </w: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脱贫攻坚成果衔接乡村振兴</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2130505</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生产发展</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2130505</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中央财政衔接推进乡村振兴补助资金-01中央直达资金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600,000.00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21307</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农村综合改革</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2130701</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对村级公益事业建设的补助</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2130701</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乡村旅游示范片区公益项目-中央资金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3,000,000.00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21308</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普惠金融发展支出</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2130803</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农业保险保费补贴</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106,360.80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2130803</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农业保险保费-区级资金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43,037.40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43,037.40</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2130803</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农业保险保费-市级资金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45,573.15</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45,573.15</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2130803</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2024年农业保险保费—中央资金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17,750.25</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17,750.25</w:t>
            </w: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资源勘探工业信息等支出</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21598</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超长期特别国债安排的支出</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2159802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制造业</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2159802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2024年超长期特别国债-农机报废更新补贴资金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41,000.00</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其他支出</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其他政府性基金及对应专项债务收入安排的支出</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2290402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其他地方自行试点项目收益专项债券收入安排的支出</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154,771,870.02</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2290402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东丽区绿色生态屏障区（南片区）储备林工程</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18,656,525.83</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18,656,525.83</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2290402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东丽区绿色生态屏障区（南片区）储备林工程结转项目</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63,740,864.03</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63,740,864.03</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2290402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绿色生态屏障区（南片区）储备林工程结转项目</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29,905,292.43</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29,905,292.43</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2290402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东湖兴农胡张庄乡村振兴示范区建设项目</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9,276,024.75</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9,276,024.75</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2290402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农业用水供水水源转换及灌溉设施提升项目专项债券资金</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29,478,410.98</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29,478,410.98</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2290402</w:t>
            </w:r>
          </w:p>
        </w:tc>
        <w:tc>
          <w:tcPr>
            <w:tcW w:w="102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绿色生态屏障区（北片区）金钟河北生态保护区项目专项债券</w:t>
            </w:r>
          </w:p>
        </w:tc>
        <w:tc>
          <w:tcPr>
            <w:tcW w:w="62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3,714,752.00</w:t>
            </w:r>
          </w:p>
        </w:tc>
        <w:tc>
          <w:tcPr>
            <w:tcW w:w="57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60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3,714,752.00</w:t>
            </w:r>
          </w:p>
        </w:tc>
        <w:tc>
          <w:tcPr>
            <w:tcW w:w="60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9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c>
          <w:tcPr>
            <w:tcW w:w="5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22"/>
                <w:szCs w:val="22"/>
                <w:u w:val="none"/>
              </w:rPr>
            </w:pPr>
            <w:r>
              <w:rPr>
                <w:rFonts w:hint="eastAsia" w:asciiTheme="minorEastAsia" w:hAnsiTheme="minorEastAsia" w:eastAsiaTheme="minorEastAsia" w:cstheme="minorEastAsia"/>
                <w:b w:val="0"/>
                <w:bCs w:val="0"/>
                <w:i w:val="0"/>
                <w:iCs w:val="0"/>
                <w:color w:val="000000"/>
                <w:kern w:val="0"/>
                <w:sz w:val="22"/>
                <w:szCs w:val="22"/>
                <w:u w:val="none"/>
                <w:lang w:val="en-US" w:eastAsia="zh-CN" w:bidi="ar"/>
              </w:rPr>
              <w:t>注：本表反映本年度项目支出决算情况，其中支出数包括当年预算资金和以前年度结转资金安排的合计实际支出。</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Theme="minorEastAsia" w:hAnsiTheme="minorEastAsia" w:eastAsiaTheme="minorEastAsia" w:cstheme="minorEastAsia"/>
          <w:b w:val="0"/>
          <w:bCs w:val="0"/>
          <w:color w:val="auto"/>
          <w:kern w:val="0"/>
          <w:sz w:val="22"/>
          <w:szCs w:val="22"/>
          <w:highlight w:val="none"/>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Theme="minorEastAsia" w:hAnsiTheme="minorEastAsia" w:eastAsiaTheme="minorEastAsia" w:cstheme="minorEastAsia"/>
          <w:b w:val="0"/>
          <w:bCs w:val="0"/>
          <w:color w:val="auto"/>
          <w:kern w:val="0"/>
          <w:sz w:val="22"/>
          <w:szCs w:val="22"/>
          <w:highlight w:val="none"/>
        </w:rPr>
        <w:sectPr>
          <w:footerReference r:id="rId6" w:type="default"/>
          <w:pgSz w:w="16838" w:h="11906" w:orient="landscape"/>
          <w:pgMar w:top="2098" w:right="1531" w:bottom="1984" w:left="1531" w:header="851" w:footer="992" w:gutter="0"/>
          <w:pgBorders>
            <w:top w:val="none" w:sz="0" w:space="0"/>
            <w:left w:val="none" w:sz="0" w:space="0"/>
            <w:bottom w:val="none" w:sz="0" w:space="0"/>
            <w:right w:val="none" w:sz="0" w:space="0"/>
          </w:pgBorders>
          <w:cols w:space="720" w:num="1"/>
          <w:docGrid w:type="lines" w:linePitch="312" w:charSpace="0"/>
        </w:sectPr>
      </w:pPr>
    </w:p>
    <w:p>
      <w:pPr>
        <w:widowControl/>
        <w:spacing w:before="0" w:beforeLines="0" w:beforeAutospacing="0" w:after="0" w:afterLines="0" w:afterAutospacing="0" w:line="360" w:lineRule="auto"/>
        <w:jc w:val="center"/>
        <w:outlineLvl w:val="0"/>
        <w:rPr>
          <w:rFonts w:ascii="黑体" w:eastAsia="黑体"/>
          <w:sz w:val="44"/>
          <w:szCs w:val="44"/>
        </w:rPr>
      </w:pPr>
      <w:r>
        <w:rPr>
          <w:rFonts w:ascii="黑体" w:eastAsia="黑体"/>
          <w:b w:val="0"/>
          <w:sz w:val="44"/>
          <w:szCs w:val="44"/>
        </w:rPr>
        <w:t>第三部分  2024年度部门决算情况说明</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一、收入支出决算总体情况说明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本级）2024年度收入、支出决算总计387,351,345.06元。与2023年度相比，收、支总计各减少90,255,532.04元，下降18.897%，主要原因是响应政府过紧日子号召，严格控制项目经费收支，且人员退休及调出导致人员经费收支减少。</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收入包括：一般公共预算财政拨款收入199,865,172.55元、政府性基金预算财政拨款收入122,979,707.04元、其他收入97,674.82元。</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支出包括：社会保障和就业支出610,666.32元、卫生健康支出305,334.27元、节能环保支出14,154,444.00元、城乡社区支出1,360,000.00元、农林水支出184,785,788.43元、资源勘探工业信息等支出41,000.00元、其他支出154,771,870.02元。</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二、收入决算情况说明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本级）2024年度本年收入合计322,942,554.41元，与2023年度相比减少38,020,593.86元，主要原因是响应政府过紧日子号召，严格控制项目经费收入，且人员退休及调出导致人员经费收入减少。其中：</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一般公共预算财政拨款收入199,865,172.55元，占61.889%；政府性基金预算财政拨款收入122,979,707.04元，占38.081%；其他收入97,674.82元，占0.030%。</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三、支出决算情况说明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本级）2024年度本年支出合计356,029,103.04元，与2023年度相比减少56,046,379.98元，主要原因是响应政府过紧日子号召，严格控制项目经费支出，且人员退休及调出导致人员经费支出减少。其中：</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基本支出6,542,913.45元，占1.838%；项目支出349,486,189.59元，占98.162%。</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四、财政拨款收支决算总体情况说明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本级）2024年度财政拨款收入、支出决算总计387,207,183.97元。与2023年度相比，财政拨款收、支总计各减少89,230,603.43元，下降18.729%，主要原因是响应政府过紧日子号召，严格控制项目经费财政拨款收支，且人员退休及调出导致人员经费财政拨款收支减少。</w:t>
      </w:r>
    </w:p>
    <w:p>
      <w:pPr>
        <w:widowControl/>
        <w:spacing w:before="0" w:beforeLines="0" w:beforeAutospacing="0" w:after="0" w:afterLines="0" w:afterAutospacing="0" w:line="360" w:lineRule="auto"/>
        <w:ind w:firstLine="600" w:firstLineChars="200"/>
        <w:jc w:val="left"/>
        <w:outlineLvl w:val="1"/>
        <w:rPr>
          <w:rFonts w:ascii="Times New Roman" w:eastAsia="仿宋_GB2312"/>
          <w:sz w:val="30"/>
          <w:szCs w:val="30"/>
        </w:rPr>
      </w:pPr>
      <w:r>
        <w:rPr>
          <w:rFonts w:ascii="Times New Roman" w:eastAsia="仿宋_GB2312"/>
          <w:b w:val="0"/>
          <w:sz w:val="30"/>
          <w:szCs w:val="30"/>
        </w:rPr>
        <w:t>收入包括：一般公共预算财政拨款199,865,172.55元、政府性基金预算财政拨款122,979,707.04元、年初财政拨款结转和结余64,362,304.38元。</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支出包括：社会保障和就业支出610,666.32元、卫生健康支出305,334.27元、节能环保支出14,154,444.00元、城乡社区支出1,360,000.00元、农林水支出184,785,788.43元、资源勘探工业信息等支出41,000.00元、其他支出154,771,870.02元。</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五、一般公共预算财政拨款支出决算情况说明</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（一）总体情况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本级）2024年度部门决算一般公共预算财政拨款支出合计199,856,233.02元，占本年支出合计的56.135%。与2023年度相比，一般公共预算财政拨款支出减少43,234,241.08元，下降17.785%，主要原因是响应政府过紧日子号召，严格控制项目经费一般公共预算财政拨款支出，且人员退休及调出导致人员经费一般公共预算财政拨款支出减少。</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（二）支出结构情况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一般公共预算财政拨款支出199,856,233.02元，主要用于以下方面：社会保障和就业支出（类）610,666.32元，占0.306%；卫生健康支出（类）305,334.27元，占0.153%；节能环保支出（类）14,154,444.00元，占7.082%；农林水支出（类）184,785,788.43元，占92.459%。</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（三）具体情况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2024年度一般公共预算财政拨款支出年初预算为274,806,322.83元，支出决算为199,856,233.02元，完成年初预算的72.726%。其中： </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社会保障和就业支出(类)行政事业单位养老支出(款)机关事业单位基本养老保险缴费支出(项)年初预算为475,780.80元，支出决算为407,110.88元，完成年初预算的85.567%，决算数小于年初预算数的主要原因是：人员退休及调出导致保险支出小于年初预算。</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社会保障和就业支出(类)行政事业单位养老支出(款)机关事业单位职业年金缴费支出(项)年初预算为237,890.40元，支出决算为203,555.44元，完成年初预算的85.567%，决算数小于年初预算数的主要原因是：人员退休及调出导致保险支出小于年初预算。</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卫生健康支出(类)行政事业单位医疗(款)行政单位医疗(项)年初预算为297,363.00元，支出决算为254,445.41元，完成年初预算的85.567%，决算数小于年初预算数的主要原因是：人员退休及调出导致保险支出小于年初预算。</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4.​卫生健康支出(类)行政事业单位医疗(款)公务员医疗补助(项)年初预算为59,472.60元，支出决算为50,888.86元，完成年初预算的85.567%，决算数小于年初预算数的主要原因是：人员退休及调出导致保险支出小于年初预算。</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5.​节能环保支出(类)污染防治(款)水体(项)年初预算为0.00元，支出决算为14,154,444.00元，决算数大于年初预算数的主要原因是：年中追加金钟河沿岸生态修复工程项目资金并支出，用于金钟河沿岸生态修复工程。</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6.​农林水支出(类)农业农村(款)行政运行(项)年初预算为6,339,133.43元，支出决算为6,239,758.86元，完成年初预算的98.432%，决算数小于年初预算数的主要原因是：人员退休及调出导致人员工资、公积金支出小于年初预算。</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7.​农林水支出(类)农业农村(款)科技转化与推广服务(项)年初预算为0.00元，支出决算为70,000.00元，决算数大于年初预算数的主要原因是：上级资金在年中到达，故在年中追加项目并支出，用于高素质农民培育。</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8.​农林水支出(类)农业农村(款)农产品质量安全(项)年初预算为0.00元，支出决算为1,635,305.00元，决算数大于年初预算数的主要原因是：年中追加2024年农产品质量安全检测项目资金并支出，用于农产品质量安全检测。</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9.​农林水支出(类)农业农村(款)稳定农民收入补贴(项)年初预算为1,080,000.00元，支出决算为8,533,300.90元，完成年初预算的790.120%，决算数大于年初预算数的主要原因是：上级资金年中到达，故在年中追加项目并支出，用于耕地地力保护补贴。</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10.​农林水支出(类)农业农村(款)农业生产发展(项)年初预算为304,068.00元，支出决算为848,512.87元，完成年初预算的279.054%，决算数大于年初预算数的主要原因是：上级资金在年中到达，故在年中追加项目并支出，用于农机购置与应用补贴，下达农村土地承包经营纠纷调查调解仲裁建设项目，用于农村土地承包经营纠纷调查调解仲裁建设。</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11.​农林水支出(类)农业农村(款)农村合作经济(项)年初预算为67,514.60元，支出决算为100,000.00元，完成年初预算的148.116%，决算数大于年初预算数的主要原因是：上级资金在年中到达，故在年中追加项目并支出，用于合作社培育。</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12.​农林水支出(类)农业农村(款)农业生态资源保护(项)年初预算为1,750,000.00元，支出决算为1,682,850.00元，完成年初预算的96.163%，决算数小于年初预算数的主要原因是：响应政府过紧日子号召，严格控制农作物秸秆综合利用项目经费支出。</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13.​农林水支出(类)农业农村(款)耕地建设与利用(项)年初预算为41,000,000.00元，支出决算为46,720,000.00元，完成年初预算的113.951%，决算数大于年初预算数的主要原因是：上级资金在年中到达，故在年中追加项目并支出，用于高标准农田建设。</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14.​农林水支出(类)林业和草原(款)行业业务管理(项)年初预算为221,921,100.00元，支出决算为115,249,700.00元，完成年初预算的51.933%，决算数小于年初预算数的主要原因是：天津市东丽区郊野公园PPP项目及天津市东丽区林业生态建设PPP项目项目未完工，单位根据实际进度进行支出。</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15.​农林水支出(类)巩固</w:t>
      </w:r>
      <w:r>
        <w:rPr>
          <w:rFonts w:hint="eastAsia" w:ascii="Times New Roman" w:eastAsia="仿宋_GB2312"/>
          <w:b w:val="0"/>
          <w:sz w:val="30"/>
          <w:szCs w:val="30"/>
          <w:lang w:eastAsia="zh-CN"/>
        </w:rPr>
        <w:t>拓展</w:t>
      </w:r>
      <w:r>
        <w:rPr>
          <w:rFonts w:ascii="Times New Roman" w:eastAsia="仿宋_GB2312"/>
          <w:b w:val="0"/>
          <w:sz w:val="30"/>
          <w:szCs w:val="30"/>
        </w:rPr>
        <w:t>脱贫攻坚成果衔接乡村振兴(款)生产发展(项)年初预算为0.00元，支出决算为600,000.00元，决算数大于年初预算数的主要原因是：上级资金在年中到达，故在年中追加项目并支出，用于中央财政衔接推进乡村振兴补助。</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16.​农林水支出(类)农村综合改革(款)对村级公益事业建设的补助(项)年初预算为0.00元，支出决算为3,000,000.00元，决算数大于年初预算数的主要原因是：上级资金在年中到达，故在年中追加项目并支出，用于乡村旅游示范片区公益项目。</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17.​农林水支出(类)普惠金融发展支出(款)农业保险保费补贴(项)年初预算为1,274,000.00元，支出决算为106,360.80元，完成年初预算的8.349%，决算数小于年初预算数的主要原因是：本年农户投保意愿不高，导致投保支出小于年初预算。</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六、一般公共预算财政拨款基本支出决算情况说明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天津市东丽区农业农村委员会（本级）2024年度部门决算一般公共预算财政拨款基本支出合计6,542,913.45元，与2023年度相比减少1,435,266.18元，主要原因是本年度人员退休及调出导致人员经费支出减少。其中：</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人员经费5,617,905.57元，主要包括基本工资、津贴补贴、奖金、机关事业单位基本养老保险缴费、职业年金缴费、职工基本医疗保险缴费、公务员医疗补助缴费、其他社会保障缴费、住房公积金、离休费、退休费、生活补助、奖励金和其他对个人和家庭的补助。</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公用经费925,007.88元，主要包括办公费、手续费、水费、电费、邮电费、取暖费、物业管理费、差旅费、维修(护)费、租赁费、培训费、工会经费、福利费、其他交通费用、税金及附加费用和其他商品和服务支出。</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七、政府性基金预算财政拨款收支决算情况说明</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（一）总体情况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本级）2024年度部门决算政府性基金预算财政拨款年初结转和结余64,101,798.63元，收入122,979,707.04元，支出156,172,870.02元，年末结转和结余30,908,635.65元。与2023年度相比，政府性基金预算财政拨款支出减少12,812,138.90元，下降7.582%，主要原因是东丽区绿色生态屏障区（南片区）储备林工程项目、绿色生态屏障区（北片区）金钟河北生态保护区项目未竣工，农业用水供水水源转换及灌溉设施提升项目未完成财政结算，本单位按实际进度进行支出。</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（二）支出结构情况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2024年度政府性基金预算财政拨款支出156,172,870.02元，主要用于以下方面：城乡社区支出（类）1,360,000.00元，占0.871%；资源勘探工业信息等支出（类）41,000.00元，占0.026%；其他支出（类）154,771,870.02元，占99.103%。</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（三）具体情况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2024年度政府性基金预算财政拨款支出年初预算为764,582,928.55元，支出决算为156,172,870.02元，完成年初预算的20.426%。其中：</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城乡社区支出(类)国有土地使用权出让收入安排的支出(款)农业生产发展支出(项)年初预算为640,000.00元，支出决算为640,000.00元，完成年初预算的100.000%，决算数与年初预算数持平的主要原因是：本年严格按照预算执行。</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城乡社区支出(类)国有土地使用权出让收入安排的支出(款)农业农村生态环境支出(项)年初预算为0.00元，支出决算为720,000.00元，决算数大于年初预算数的主要原因是：上级资金在年中到达，故在年中追加项目并支出，用于农作物秸秆综合利用。</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资源勘探工业信息等支出(类)超长期特别国债安排的支出(款)制造业(项)年初预算为0.00元，支出决算为41,000.00元，决算数大于年初预算数的主要原因是：上级资金在年中到达，故在年中追加项目并支出，用于农机报废更新补贴。</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4.​其他支出(类)其他政府性基金及对应专项债务收入安排的支出(款)其他地方自行试点项目收益专项债券收入安排的支出(项)年初预算为763,942,928.55元，支出决算为154,771,870.02元，完成年初预算的20.260%，决算数小于年初预算数的主要原因是：东丽区绿色生态屏障区（南片区）储备林工程项目、绿色生态屏障区（北片区）金钟河北生态保护区项目未竣工，农业用水供水水源转换及灌溉设施提升项目未完成财政结算，本单位按实际进度支付相关款项。</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八、国有资本经营预算财政拨款收支决算情况说明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天津市东丽区农业农村委员会（本级）2024年度无国有资本经营预算财政拨款收入、支出和结转结余。</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九、财政拨款“三公”经费支出决算情况说明</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（一）总体情况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财政拨款“三公”经费预算0.00元，支出决算0.00元，与2024年预算相比持平；支出决算较上年持平；决算数与预算数持平的主要原因是本年未用财政拨款列支“三公”经费；决算数较上年持平的主要原因是本年未用财政拨款列支“三公”经费。</w:t>
      </w:r>
    </w:p>
    <w:p>
      <w:pPr>
        <w:widowControl/>
        <w:spacing w:before="0" w:beforeLines="0" w:beforeAutospacing="0" w:after="0" w:afterLines="0" w:afterAutospacing="0" w:line="360" w:lineRule="auto"/>
        <w:ind w:firstLine="602" w:firstLineChars="200"/>
        <w:jc w:val="left"/>
        <w:rPr>
          <w:rFonts w:ascii="楷体" w:eastAsia="楷体"/>
          <w:sz w:val="30"/>
          <w:szCs w:val="30"/>
        </w:rPr>
      </w:pPr>
      <w:r>
        <w:rPr>
          <w:rFonts w:ascii="楷体" w:eastAsia="楷体"/>
          <w:b/>
          <w:sz w:val="30"/>
          <w:szCs w:val="30"/>
        </w:rPr>
        <w:t>（二）具体情况</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因公出国（境）费预算0.00元，支出决算0.00元，与预算相比持平；支出决算较上年持平；决算数与预算数持平的主要原因是本年未用财政拨款列支因公出国(境)费；决算数较上年持平的主要原因是本年未用财政拨款列支因公出国(境)费。</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2024年本单位组织的出国团组0个，出国0人次。</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公务用车购置及运行维护费预算0.00元，支出决算0.00元，与预算相比持平；支出决算较上年持平；决算数与预算数持平的主要原因是本年未用财政拨款列支公务用车购置及运行维护费；决算数较上年持平的主要原因是本年未用财政拨款列支公务用车购置及运行维护费。其中：</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公务用车运行维护费预算0.00元，支出决算0.00元，与预算相比持平；支出决算较上年持平；决算数与预算数持平的主要原因是本年未用财政拨款列支公务用车运行维护费；决算数较上年持平的主要原因是本年未用财政拨款列支公务用车运行维护费。</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截至2024年12月31日，使用财政拨款开支运行维护费的公务用车保有量为0辆。</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公务用车购置费预算0.00元，支出决算0.00元，与预算相比持平；支出决算较上年持平；决算数与预算数持平的主要原因是本年未用财政拨款列支公务用车购置费；决算数较上年持平的主要原因是本年未用财政拨款列支公务用车购置费。</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2024年购置公务用车0辆。</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公务接待费预算0.00元，支出决算0.00元，与预算相比持平；支出决算较上年持平；决算数与预算数持平的主要原因是本年未用财政拨款列支公务接待费；决算数较上年持平的主要原因是本年未用财政拨款列支公务接待费。</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2024年本单位国内公务接待0批次，0人次；其中，外事接待0批次，0人次。</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十、机关运行经费支出情况说明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机关运行经费是指行政单位和参照公务员法管理的事业单位使用财政拨款安排的基本支出中的日常公用经费支出，天津市东丽区农业农村委员会（本级）2024年度机关运行经费年初预算989,555.77元，决算数925,007.88元，与年初预算相比减少64,547.89元，完成年初预算的93.477%；比2023年增加183,388.21元，增长24.728%。主要原因是：本单位按实际需求支付部分以前年度欠款 。</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十一、政府采购支出情况说明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天津市东丽区农业农村委员会（本级）2024年政府采购支出总额169,608,527.00元，其中：政府采购货物支出0.00元、政府采购工程支出167,404,144.00元、政府采购服务支出2,204,383.00元。</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授予中小企业合同金额0.00元，占政府采购支出总额的0.000%，其中：授予小微企业合同金额0.00元，占政府采购支出总额的0.000%；货物采购授予中小企业合同金额占货物支出金额的0.000%；工程采购授予中小企业合同金额占工程支出金额的0.000%；服务采购授予中小企业合同金额占服务支出金额的0.000%。</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十二、国有资产占有使用情况说明</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天津市东丽区农业农村委员会（本级）2024年度无国有资产占有使用情况。</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十三、预算绩效情况说明</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根据预算绩效管理要求，天津市东丽区农业农村委员会（本级）已对42个2024年度市级项目开展绩效自评，涉及金额349486189.59元，自评结果已随部门决算一并公开。</w:t>
      </w:r>
    </w:p>
    <w:p>
      <w:pPr>
        <w:widowControl/>
        <w:spacing w:before="0" w:beforeLines="0" w:beforeAutospacing="0" w:after="0" w:afterLines="0" w:afterAutospacing="0" w:line="360" w:lineRule="auto"/>
        <w:ind w:firstLine="602" w:firstLineChars="200"/>
        <w:jc w:val="left"/>
        <w:outlineLvl w:val="1"/>
        <w:rPr>
          <w:rFonts w:ascii="宋体" w:eastAsia="黑体"/>
          <w:sz w:val="30"/>
          <w:szCs w:val="30"/>
        </w:rPr>
      </w:pPr>
      <w:r>
        <w:rPr>
          <w:rFonts w:ascii="宋体" w:eastAsia="黑体"/>
          <w:b/>
          <w:sz w:val="30"/>
          <w:szCs w:val="30"/>
        </w:rPr>
        <w:t>十四、教育、医疗卫生、社会保障和就业、住房保障、涉农补贴等民生支出情况说明</w:t>
      </w:r>
    </w:p>
    <w:p>
      <w:pPr>
        <w:widowControl/>
        <w:spacing w:before="0" w:beforeLines="0" w:beforeAutospacing="0" w:after="0" w:afterLines="0" w:afterAutospacing="0" w:line="240" w:lineRule="auto"/>
        <w:ind w:firstLine="600" w:firstLineChars="200"/>
        <w:jc w:val="left"/>
        <w:rPr>
          <w:rFonts w:ascii="Times New Roman" w:eastAsia="仿宋_GB2312"/>
          <w:sz w:val="30"/>
          <w:szCs w:val="30"/>
        </w:rPr>
      </w:pPr>
      <w:r>
        <w:rPr>
          <w:rFonts w:ascii="Times New Roman" w:eastAsia="仿宋_GB2312"/>
          <w:b w:val="0"/>
          <w:sz w:val="30"/>
          <w:szCs w:val="30"/>
        </w:rPr>
        <w:t>天津市东丽区农业农村委员会（本级）不属于乡、镇、街级单位，不涉及公开2024年度教育、医疗卫生、社会保障和就业、住房保障、涉农补贴等民生支出情况。</w:t>
      </w:r>
    </w:p>
    <w:p>
      <w:pPr>
        <w:widowControl/>
        <w:spacing w:before="0" w:beforeLines="0" w:beforeAutospacing="0" w:after="0" w:afterLines="0" w:afterAutospacing="0" w:line="360" w:lineRule="auto"/>
        <w:jc w:val="center"/>
        <w:outlineLvl w:val="0"/>
        <w:rPr>
          <w:rFonts w:ascii="黑体" w:eastAsia="黑体"/>
          <w:sz w:val="44"/>
          <w:szCs w:val="44"/>
        </w:rPr>
      </w:pPr>
      <w:r>
        <w:rPr>
          <w:rFonts w:ascii="黑体" w:eastAsia="黑体"/>
          <w:b w:val="0"/>
          <w:sz w:val="44"/>
          <w:szCs w:val="44"/>
        </w:rPr>
        <w:t>第四部分 名词解释</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widowControl/>
        <w:spacing w:before="0" w:beforeLines="0" w:beforeAutospacing="0" w:after="0" w:afterLines="0" w:afterAutospacing="0" w:line="360" w:lineRule="auto"/>
        <w:ind w:firstLine="600" w:firstLineChars="200"/>
        <w:jc w:val="left"/>
        <w:rPr>
          <w:rFonts w:ascii="Times New Roman" w:eastAsia="仿宋_GB2312"/>
          <w:sz w:val="30"/>
          <w:szCs w:val="30"/>
        </w:rPr>
      </w:pPr>
      <w:r>
        <w:rPr>
          <w:rFonts w:ascii="Times New Roman" w:eastAsia="仿宋_GB2312"/>
          <w:b w:val="0"/>
          <w:sz w:val="30"/>
          <w:szCs w:val="30"/>
        </w:rPr>
        <w:t>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p>
      <w:pPr>
        <w:rPr>
          <w:rFonts w:hint="default" w:asciiTheme="minorEastAsia" w:hAnsiTheme="minorEastAsia" w:cstheme="minorEastAsia"/>
          <w:b w:val="0"/>
          <w:bCs w:val="0"/>
          <w:i w:val="0"/>
          <w:iCs w:val="0"/>
          <w:caps w:val="0"/>
          <w:color w:val="333333"/>
          <w:spacing w:val="0"/>
          <w:sz w:val="22"/>
          <w:szCs w:val="22"/>
          <w:highlight w:val="none"/>
          <w:shd w:val="clear" w:fill="FFFFFF"/>
          <w:lang w:val="en-US" w:eastAsia="zh-CN"/>
        </w:rPr>
      </w:pPr>
    </w:p>
    <w:sectPr>
      <w:pgSz w:w="11906" w:h="16838"/>
      <w:pgMar w:top="2098" w:right="1417" w:bottom="1871" w:left="1417" w:header="851" w:footer="992" w:gutter="0"/>
      <w:pgBorders>
        <w:top w:val="none" w:sz="0" w:space="0"/>
        <w:left w:val="none" w:sz="0" w:space="0"/>
        <w:bottom w:val="none" w:sz="0" w:space="0"/>
        <w:right w:val="none" w:sz="0" w:space="0"/>
      </w:pgBorders>
      <w:cols w:space="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roman"/>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Calibri Light">
    <w:altName w:val="DejaVu Sans"/>
    <w:panose1 w:val="020F0302020204030204"/>
    <w:charset w:val="00"/>
    <w:family w:val="auto"/>
    <w:pitch w:val="default"/>
    <w:sig w:usb0="00000000" w:usb1="00000000" w:usb2="00000009" w:usb3="00000000" w:csb0="200001FF" w:csb1="00000000"/>
  </w:font>
  <w:font w:name="华文中宋">
    <w:altName w:val="汉仪中宋简"/>
    <w:panose1 w:val="02010600040101010101"/>
    <w:charset w:val="86"/>
    <w:family w:val="auto"/>
    <w:pitch w:val="default"/>
    <w:sig w:usb0="00000000" w:usb1="00000000" w:usb2="00000000" w:usb3="00000000" w:csb0="0004009F" w:csb1="DFD70000"/>
  </w:font>
  <w:font w:name="helvetica">
    <w:altName w:val="汉仪中秀体简"/>
    <w:panose1 w:val="00000000000000000000"/>
    <w:charset w:val="00"/>
    <w:family w:val="auto"/>
    <w:pitch w:val="default"/>
    <w:sig w:usb0="00000000" w:usb1="00000000" w:usb2="00000000" w:usb3="00000000" w:csb0="2000019F" w:csb1="4F010000"/>
  </w:font>
  <w:font w:name="Fz_S_BiaoSong_Jt">
    <w:altName w:val="汉仪仿宋S"/>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宋体-简">
    <w:altName w:val="宋体"/>
    <w:panose1 w:val="0201080004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汉仪仿宋S">
    <w:panose1 w:val="00020600040101000101"/>
    <w:charset w:val="86"/>
    <w:family w:val="auto"/>
    <w:pitch w:val="default"/>
    <w:sig w:usb0="A00002BF" w:usb1="38CF7CFA" w:usb2="00000016" w:usb3="00000000" w:csb0="0004009F"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F1D044"/>
    <w:multiLevelType w:val="singleLevel"/>
    <w:tmpl w:val="EBF1D044"/>
    <w:lvl w:ilvl="0" w:tentative="0">
      <w:start w:val="6"/>
      <w:numFmt w:val="chineseCounting"/>
      <w:suff w:val="nothing"/>
      <w:lvlText w:val="%1、"/>
      <w:lvlJc w:val="left"/>
      <w:rPr>
        <w:rFonts w:hint="eastAsia"/>
      </w:rPr>
    </w:lvl>
  </w:abstractNum>
  <w:abstractNum w:abstractNumId="1">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embedTrueTypeFonts/>
  <w:saveSubsetFonts/>
  <w:bordersDoNotSurroundHeader w:val="false"/>
  <w:bordersDoNotSurroundFooter w:val="false"/>
  <w:documentProtection w:enforcement="0"/>
  <w:defaultTabStop w:val="420"/>
  <w:drawingGridVerticalSpacing w:val="165"/>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000000"/>
    <w:rsid w:val="00086151"/>
    <w:rsid w:val="00236F8C"/>
    <w:rsid w:val="00822154"/>
    <w:rsid w:val="00C65689"/>
    <w:rsid w:val="00CC2C8E"/>
    <w:rsid w:val="016646EA"/>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54502F"/>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E52CE"/>
    <w:rsid w:val="0E722011"/>
    <w:rsid w:val="0E866524"/>
    <w:rsid w:val="0E8B06C6"/>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0E649D4"/>
    <w:rsid w:val="11177F57"/>
    <w:rsid w:val="11217C97"/>
    <w:rsid w:val="11464C20"/>
    <w:rsid w:val="115E4926"/>
    <w:rsid w:val="118A1FFA"/>
    <w:rsid w:val="11E35B5A"/>
    <w:rsid w:val="11E42DD6"/>
    <w:rsid w:val="125F5A1B"/>
    <w:rsid w:val="126979D6"/>
    <w:rsid w:val="129E45A7"/>
    <w:rsid w:val="13074404"/>
    <w:rsid w:val="136A5C00"/>
    <w:rsid w:val="13B97B08"/>
    <w:rsid w:val="13C527AC"/>
    <w:rsid w:val="143C61AE"/>
    <w:rsid w:val="14711797"/>
    <w:rsid w:val="147B6F17"/>
    <w:rsid w:val="14D42061"/>
    <w:rsid w:val="15081C8B"/>
    <w:rsid w:val="15090D5C"/>
    <w:rsid w:val="15CF053D"/>
    <w:rsid w:val="15E0131A"/>
    <w:rsid w:val="15E11DC0"/>
    <w:rsid w:val="16457D9F"/>
    <w:rsid w:val="17223EFF"/>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AE079B"/>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530A33"/>
    <w:rsid w:val="29D21FF2"/>
    <w:rsid w:val="2A611B0F"/>
    <w:rsid w:val="2AC1762B"/>
    <w:rsid w:val="2AE845D0"/>
    <w:rsid w:val="2B4975FB"/>
    <w:rsid w:val="2B695031"/>
    <w:rsid w:val="2B735A8F"/>
    <w:rsid w:val="2BA7478D"/>
    <w:rsid w:val="2BB038DB"/>
    <w:rsid w:val="2BB761E0"/>
    <w:rsid w:val="2BB812F9"/>
    <w:rsid w:val="2BE35C27"/>
    <w:rsid w:val="2BFA504B"/>
    <w:rsid w:val="2BFF2BAC"/>
    <w:rsid w:val="2C681F1F"/>
    <w:rsid w:val="2C8608DC"/>
    <w:rsid w:val="2CA4764A"/>
    <w:rsid w:val="2CC42ECA"/>
    <w:rsid w:val="2CDA4349"/>
    <w:rsid w:val="2D225539"/>
    <w:rsid w:val="2D4618D2"/>
    <w:rsid w:val="2D5F021B"/>
    <w:rsid w:val="2D6E1286"/>
    <w:rsid w:val="2D70583E"/>
    <w:rsid w:val="2E0725DC"/>
    <w:rsid w:val="2E1B4BB8"/>
    <w:rsid w:val="2E256CB6"/>
    <w:rsid w:val="2E5F27E4"/>
    <w:rsid w:val="2EBD223E"/>
    <w:rsid w:val="2EC10AD1"/>
    <w:rsid w:val="2ECB6A5A"/>
    <w:rsid w:val="2EE65418"/>
    <w:rsid w:val="2EFC0112"/>
    <w:rsid w:val="2F0F6197"/>
    <w:rsid w:val="2F2B730D"/>
    <w:rsid w:val="2F9F3DC1"/>
    <w:rsid w:val="2FDD68F6"/>
    <w:rsid w:val="2FFC7AC2"/>
    <w:rsid w:val="301430AF"/>
    <w:rsid w:val="30630612"/>
    <w:rsid w:val="30746475"/>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5FDAB06"/>
    <w:rsid w:val="360134DF"/>
    <w:rsid w:val="360B1E2F"/>
    <w:rsid w:val="360D500F"/>
    <w:rsid w:val="36330424"/>
    <w:rsid w:val="36FE3ABA"/>
    <w:rsid w:val="37072BDE"/>
    <w:rsid w:val="37455334"/>
    <w:rsid w:val="37527C32"/>
    <w:rsid w:val="376F0A96"/>
    <w:rsid w:val="37731921"/>
    <w:rsid w:val="37DB3EBD"/>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D30423"/>
    <w:rsid w:val="3C6C0B58"/>
    <w:rsid w:val="3CBE41D5"/>
    <w:rsid w:val="3D446B0E"/>
    <w:rsid w:val="3D745844"/>
    <w:rsid w:val="3D953A6B"/>
    <w:rsid w:val="3DBB5979"/>
    <w:rsid w:val="3DD56F21"/>
    <w:rsid w:val="3DEF6699"/>
    <w:rsid w:val="3DFD4677"/>
    <w:rsid w:val="3E1057AF"/>
    <w:rsid w:val="3E6C0DFA"/>
    <w:rsid w:val="3E740322"/>
    <w:rsid w:val="3E7F4380"/>
    <w:rsid w:val="3E8D171B"/>
    <w:rsid w:val="3EA5630D"/>
    <w:rsid w:val="3EBA731B"/>
    <w:rsid w:val="3EE33949"/>
    <w:rsid w:val="3EFB5800"/>
    <w:rsid w:val="3F3B4E59"/>
    <w:rsid w:val="3F6E677C"/>
    <w:rsid w:val="3F712F46"/>
    <w:rsid w:val="3FBC0EF7"/>
    <w:rsid w:val="3FCD2AB9"/>
    <w:rsid w:val="3FCFF788"/>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EE71C5"/>
    <w:rsid w:val="47F00499"/>
    <w:rsid w:val="48015FF5"/>
    <w:rsid w:val="483820D2"/>
    <w:rsid w:val="48692CD0"/>
    <w:rsid w:val="48AE3D01"/>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B65017"/>
    <w:rsid w:val="4CDF5563"/>
    <w:rsid w:val="4CFB2214"/>
    <w:rsid w:val="4D2C4D26"/>
    <w:rsid w:val="4D335E0E"/>
    <w:rsid w:val="4D4E4EA3"/>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26DA2"/>
    <w:rsid w:val="4F3C4343"/>
    <w:rsid w:val="4F416688"/>
    <w:rsid w:val="4F5620B0"/>
    <w:rsid w:val="4F616EB4"/>
    <w:rsid w:val="4F6654EE"/>
    <w:rsid w:val="4F7379C6"/>
    <w:rsid w:val="4F872BDB"/>
    <w:rsid w:val="4F934F18"/>
    <w:rsid w:val="4FA033E9"/>
    <w:rsid w:val="4FA743DA"/>
    <w:rsid w:val="4FB3565A"/>
    <w:rsid w:val="4FC4714D"/>
    <w:rsid w:val="503D1C79"/>
    <w:rsid w:val="5072771C"/>
    <w:rsid w:val="507A6406"/>
    <w:rsid w:val="50853863"/>
    <w:rsid w:val="508A4590"/>
    <w:rsid w:val="50F1461D"/>
    <w:rsid w:val="50FE5411"/>
    <w:rsid w:val="510B072E"/>
    <w:rsid w:val="511B0BF4"/>
    <w:rsid w:val="51264306"/>
    <w:rsid w:val="514E62C9"/>
    <w:rsid w:val="516123CE"/>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D26583"/>
    <w:rsid w:val="55363E67"/>
    <w:rsid w:val="556E6DF7"/>
    <w:rsid w:val="55965CE3"/>
    <w:rsid w:val="559D47CE"/>
    <w:rsid w:val="55BE1959"/>
    <w:rsid w:val="55C0134C"/>
    <w:rsid w:val="56232437"/>
    <w:rsid w:val="562D39F0"/>
    <w:rsid w:val="56541A75"/>
    <w:rsid w:val="568832FC"/>
    <w:rsid w:val="568C4181"/>
    <w:rsid w:val="570725A9"/>
    <w:rsid w:val="5714693E"/>
    <w:rsid w:val="571D0C9C"/>
    <w:rsid w:val="573A16CE"/>
    <w:rsid w:val="579C7F80"/>
    <w:rsid w:val="57B30D7C"/>
    <w:rsid w:val="57F9AC10"/>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EB100E"/>
    <w:rsid w:val="5DFA5EB0"/>
    <w:rsid w:val="5E000E4D"/>
    <w:rsid w:val="5E0B583E"/>
    <w:rsid w:val="5E201A7B"/>
    <w:rsid w:val="5EA45884"/>
    <w:rsid w:val="5EBD0484"/>
    <w:rsid w:val="5F2C5C7C"/>
    <w:rsid w:val="5F36141C"/>
    <w:rsid w:val="5FC5273F"/>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63E1DBA"/>
    <w:rsid w:val="665D0213"/>
    <w:rsid w:val="668506C7"/>
    <w:rsid w:val="669E59F1"/>
    <w:rsid w:val="66A2024B"/>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BEDF527"/>
    <w:rsid w:val="6C0C698C"/>
    <w:rsid w:val="6C222401"/>
    <w:rsid w:val="6C56267F"/>
    <w:rsid w:val="6C826EF9"/>
    <w:rsid w:val="6CAE4C93"/>
    <w:rsid w:val="6CB14F16"/>
    <w:rsid w:val="6CEC2069"/>
    <w:rsid w:val="6D0B1869"/>
    <w:rsid w:val="6D65402D"/>
    <w:rsid w:val="6D683822"/>
    <w:rsid w:val="6D8D136C"/>
    <w:rsid w:val="6DBF2759"/>
    <w:rsid w:val="6DC96F36"/>
    <w:rsid w:val="6DEBC015"/>
    <w:rsid w:val="6DFA3EBF"/>
    <w:rsid w:val="6E3E63D2"/>
    <w:rsid w:val="6E5F7BE6"/>
    <w:rsid w:val="6E6918C6"/>
    <w:rsid w:val="6EEB4AC4"/>
    <w:rsid w:val="6F212DD6"/>
    <w:rsid w:val="6F3B5912"/>
    <w:rsid w:val="6FA14A81"/>
    <w:rsid w:val="6FA3261F"/>
    <w:rsid w:val="6FB44BAA"/>
    <w:rsid w:val="6FD78D8A"/>
    <w:rsid w:val="6FFDCF89"/>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29C0443"/>
    <w:rsid w:val="73177841"/>
    <w:rsid w:val="733774FE"/>
    <w:rsid w:val="73617E1B"/>
    <w:rsid w:val="736D7653"/>
    <w:rsid w:val="738035CB"/>
    <w:rsid w:val="73852C46"/>
    <w:rsid w:val="7396335C"/>
    <w:rsid w:val="73F46595"/>
    <w:rsid w:val="74283FA2"/>
    <w:rsid w:val="742C135B"/>
    <w:rsid w:val="74463733"/>
    <w:rsid w:val="748A2F40"/>
    <w:rsid w:val="74D84FF7"/>
    <w:rsid w:val="74F85778"/>
    <w:rsid w:val="75272439"/>
    <w:rsid w:val="758F1E9B"/>
    <w:rsid w:val="75CE266B"/>
    <w:rsid w:val="75DD86E9"/>
    <w:rsid w:val="76120141"/>
    <w:rsid w:val="768216BE"/>
    <w:rsid w:val="76924256"/>
    <w:rsid w:val="76C23B43"/>
    <w:rsid w:val="76FD6F97"/>
    <w:rsid w:val="770218E8"/>
    <w:rsid w:val="779469CE"/>
    <w:rsid w:val="77C875A5"/>
    <w:rsid w:val="78A27DF6"/>
    <w:rsid w:val="79285B3A"/>
    <w:rsid w:val="79490B03"/>
    <w:rsid w:val="79625CA9"/>
    <w:rsid w:val="79A91196"/>
    <w:rsid w:val="7A0B32D3"/>
    <w:rsid w:val="7A6D0459"/>
    <w:rsid w:val="7AC13CD3"/>
    <w:rsid w:val="7AE10264"/>
    <w:rsid w:val="7AE4248E"/>
    <w:rsid w:val="7AF47613"/>
    <w:rsid w:val="7B4A207F"/>
    <w:rsid w:val="7B550C59"/>
    <w:rsid w:val="7B936F45"/>
    <w:rsid w:val="7BA47419"/>
    <w:rsid w:val="7BB10D45"/>
    <w:rsid w:val="7BB44151"/>
    <w:rsid w:val="7C656A39"/>
    <w:rsid w:val="7CB93996"/>
    <w:rsid w:val="7CBE0F99"/>
    <w:rsid w:val="7D093576"/>
    <w:rsid w:val="7D115EA6"/>
    <w:rsid w:val="7D4E45F1"/>
    <w:rsid w:val="7DFB6D82"/>
    <w:rsid w:val="7DFED4AA"/>
    <w:rsid w:val="7E1D71D1"/>
    <w:rsid w:val="7E246254"/>
    <w:rsid w:val="7E553215"/>
    <w:rsid w:val="7E6D090F"/>
    <w:rsid w:val="7ECC66B2"/>
    <w:rsid w:val="7F2914C3"/>
    <w:rsid w:val="7F5F2ED6"/>
    <w:rsid w:val="7F7BD542"/>
    <w:rsid w:val="7FA837EF"/>
    <w:rsid w:val="7FBC9352"/>
    <w:rsid w:val="7FC36955"/>
    <w:rsid w:val="7FE903A0"/>
    <w:rsid w:val="7FF07065"/>
    <w:rsid w:val="7FF97946"/>
    <w:rsid w:val="7FFE7888"/>
    <w:rsid w:val="7FFFB5DB"/>
    <w:rsid w:val="8E7B9B6B"/>
    <w:rsid w:val="9FFBFF3B"/>
    <w:rsid w:val="A3BFD1C8"/>
    <w:rsid w:val="AFFFAB52"/>
    <w:rsid w:val="B73F34E5"/>
    <w:rsid w:val="B8E28D64"/>
    <w:rsid w:val="BFA54E51"/>
    <w:rsid w:val="CDFC0DEF"/>
    <w:rsid w:val="D3E60E83"/>
    <w:rsid w:val="DB4FE050"/>
    <w:rsid w:val="DBFEF0D2"/>
    <w:rsid w:val="DFBD6FEF"/>
    <w:rsid w:val="E2DE949D"/>
    <w:rsid w:val="E4C8A119"/>
    <w:rsid w:val="E7F4D2DA"/>
    <w:rsid w:val="E9EF6F43"/>
    <w:rsid w:val="EBF02B0F"/>
    <w:rsid w:val="EEE74D43"/>
    <w:rsid w:val="EF7BA4A3"/>
    <w:rsid w:val="EFEFA57D"/>
    <w:rsid w:val="F65F61B1"/>
    <w:rsid w:val="F997E54E"/>
    <w:rsid w:val="FA7BD81E"/>
    <w:rsid w:val="FAF7E9AA"/>
    <w:rsid w:val="FB4C53D1"/>
    <w:rsid w:val="FBEF8F85"/>
    <w:rsid w:val="FCF3508D"/>
    <w:rsid w:val="FCFD37B6"/>
    <w:rsid w:val="FD6FC958"/>
    <w:rsid w:val="FDF7B17C"/>
    <w:rsid w:val="FEF7C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ind w:left="425" w:hanging="425"/>
      <w:jc w:val="left"/>
      <w:outlineLvl w:val="0"/>
    </w:pPr>
    <w:rPr>
      <w:rFonts w:ascii="Times New Roman" w:hAnsi="Times New Roman" w:eastAsia="仿宋" w:cs="Times New Roman"/>
      <w:b/>
      <w:bCs/>
      <w:kern w:val="44"/>
      <w:sz w:val="36"/>
      <w:szCs w:val="44"/>
    </w:rPr>
  </w:style>
  <w:style w:type="paragraph" w:styleId="3">
    <w:name w:val="heading 2"/>
    <w:basedOn w:val="1"/>
    <w:next w:val="1"/>
    <w:link w:val="15"/>
    <w:semiHidden/>
    <w:unhideWhenUsed/>
    <w:qFormat/>
    <w:uiPriority w:val="9"/>
    <w:pPr>
      <w:widowControl w:val="0"/>
      <w:numPr>
        <w:ilvl w:val="1"/>
        <w:numId w:val="1"/>
      </w:numPr>
      <w:spacing w:line="416" w:lineRule="auto"/>
      <w:ind w:left="567" w:hanging="567"/>
      <w:outlineLvl w:val="1"/>
    </w:pPr>
    <w:rPr>
      <w:rFonts w:ascii="Calibri Light" w:hAnsi="Calibri Light" w:eastAsia="宋体" w:cs="Times New Roman"/>
      <w:b/>
      <w:bCs/>
      <w:sz w:val="28"/>
      <w:szCs w:val="32"/>
    </w:rPr>
  </w:style>
  <w:style w:type="paragraph" w:styleId="4">
    <w:name w:val="heading 3"/>
    <w:basedOn w:val="1"/>
    <w:next w:val="1"/>
    <w:semiHidden/>
    <w:unhideWhenUsed/>
    <w:qFormat/>
    <w:uiPriority w:val="9"/>
    <w:pPr>
      <w:keepNext/>
      <w:keepLines/>
      <w:numPr>
        <w:ilvl w:val="2"/>
        <w:numId w:val="1"/>
      </w:numPr>
      <w:spacing w:before="50" w:beforeLines="50" w:after="50" w:afterLines="50" w:line="416" w:lineRule="auto"/>
      <w:outlineLvl w:val="2"/>
    </w:pPr>
    <w:rPr>
      <w:rFonts w:ascii="宋体" w:hAnsi="宋体" w:eastAsia="宋体" w:cs="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4"/>
    <w:unhideWhenUsed/>
    <w:qFormat/>
    <w:uiPriority w:val="99"/>
    <w:rPr>
      <w:rFonts w:cstheme="minorBidi"/>
      <w:kern w:val="2"/>
      <w:sz w:val="18"/>
      <w:szCs w:val="18"/>
    </w:rPr>
  </w:style>
  <w:style w:type="paragraph" w:styleId="8">
    <w:name w:val="footer"/>
    <w:basedOn w:val="1"/>
    <w:link w:val="16"/>
    <w:qFormat/>
    <w:uiPriority w:val="99"/>
    <w:pPr>
      <w:tabs>
        <w:tab w:val="center" w:pos="4153"/>
        <w:tab w:val="right" w:pos="8306"/>
      </w:tabs>
      <w:snapToGrid w:val="0"/>
      <w:jc w:val="left"/>
    </w:pPr>
    <w:rPr>
      <w:rFonts w:cstheme="minorBidi"/>
      <w:kern w:val="2"/>
      <w:sz w:val="18"/>
      <w:szCs w:val="18"/>
    </w:rPr>
  </w:style>
  <w:style w:type="paragraph" w:styleId="9">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customStyle="1" w:styleId="15">
    <w:name w:val="标题 2 Char"/>
    <w:link w:val="3"/>
    <w:qFormat/>
    <w:uiPriority w:val="0"/>
    <w:rPr>
      <w:rFonts w:ascii="Calibri Light" w:hAnsi="Calibri Light" w:eastAsia="宋体" w:cs="Times New Roman"/>
      <w:b/>
      <w:bCs/>
      <w:sz w:val="28"/>
      <w:szCs w:val="32"/>
    </w:rPr>
  </w:style>
  <w:style w:type="character" w:customStyle="1" w:styleId="16">
    <w:name w:val="页脚 Char"/>
    <w:basedOn w:val="13"/>
    <w:link w:val="8"/>
    <w:qFormat/>
    <w:uiPriority w:val="99"/>
    <w:rPr>
      <w:rFonts w:asciiTheme="minorHAnsi" w:hAnsiTheme="minorHAnsi" w:eastAsiaTheme="minorEastAsia" w:cstheme="minorBidi"/>
      <w:sz w:val="18"/>
      <w:szCs w:val="18"/>
      <w:lang w:val="en-US" w:eastAsia="zh-CN" w:bidi="ar-SA"/>
    </w:rPr>
  </w:style>
  <w:style w:type="character" w:customStyle="1" w:styleId="17">
    <w:name w:val="页眉 Char"/>
    <w:basedOn w:val="13"/>
    <w:link w:val="9"/>
    <w:qFormat/>
    <w:uiPriority w:val="0"/>
    <w:rPr>
      <w:rFonts w:asciiTheme="minorHAnsi" w:hAnsiTheme="minorHAnsi" w:eastAsiaTheme="minorEastAsia" w:cstheme="minorBidi"/>
      <w:sz w:val="18"/>
      <w:szCs w:val="18"/>
      <w:lang w:val="en-US" w:eastAsia="zh-CN" w:bidi="ar-SA"/>
    </w:rPr>
  </w:style>
  <w:style w:type="character" w:customStyle="1" w:styleId="18">
    <w:name w:val="font11"/>
    <w:basedOn w:val="13"/>
    <w:qFormat/>
    <w:uiPriority w:val="0"/>
    <w:rPr>
      <w:rFonts w:hint="eastAsia" w:ascii="宋体" w:hAnsi="宋体" w:eastAsia="宋体" w:cs="宋体"/>
      <w:color w:val="000000"/>
      <w:sz w:val="20"/>
      <w:szCs w:val="20"/>
      <w:u w:val="none"/>
      <w:lang w:val="en-US" w:eastAsia="zh-CN" w:bidi="ar-SA"/>
    </w:rPr>
  </w:style>
  <w:style w:type="character" w:customStyle="1" w:styleId="19">
    <w:name w:val="font01"/>
    <w:basedOn w:val="13"/>
    <w:qFormat/>
    <w:uiPriority w:val="0"/>
    <w:rPr>
      <w:rFonts w:hint="eastAsia" w:ascii="宋体" w:hAnsi="宋体" w:eastAsia="宋体" w:cs="宋体"/>
      <w:color w:val="000000"/>
      <w:sz w:val="22"/>
      <w:szCs w:val="22"/>
      <w:u w:val="none"/>
      <w:lang w:val="en-US" w:eastAsia="zh-CN" w:bidi="ar-SA"/>
    </w:rPr>
  </w:style>
  <w:style w:type="character" w:customStyle="1" w:styleId="20">
    <w:name w:val="font41"/>
    <w:basedOn w:val="13"/>
    <w:qFormat/>
    <w:uiPriority w:val="0"/>
    <w:rPr>
      <w:rFonts w:hint="eastAsia" w:ascii="宋体" w:hAnsi="宋体" w:eastAsia="宋体" w:cs="宋体"/>
      <w:color w:val="000000"/>
      <w:sz w:val="24"/>
      <w:szCs w:val="24"/>
      <w:u w:val="none"/>
      <w:lang w:val="en-US" w:eastAsia="zh-CN" w:bidi="ar-SA"/>
    </w:rPr>
  </w:style>
  <w:style w:type="character" w:customStyle="1" w:styleId="21">
    <w:name w:val="font3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2">
    <w:name w:val="font9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51"/>
    <w:basedOn w:val="13"/>
    <w:qFormat/>
    <w:uiPriority w:val="0"/>
    <w:rPr>
      <w:rFonts w:hint="eastAsia" w:ascii="宋体" w:hAnsi="宋体" w:eastAsia="宋体" w:cs="宋体"/>
      <w:color w:val="000000"/>
      <w:sz w:val="24"/>
      <w:szCs w:val="24"/>
      <w:u w:val="none"/>
      <w:lang w:val="en-US" w:eastAsia="zh-CN" w:bidi="ar-SA"/>
    </w:rPr>
  </w:style>
  <w:style w:type="character" w:customStyle="1" w:styleId="24">
    <w:name w:val="批注框文本 Char"/>
    <w:basedOn w:val="13"/>
    <w:link w:val="7"/>
    <w:semiHidden/>
    <w:qFormat/>
    <w:uiPriority w:val="99"/>
    <w:rPr>
      <w:rFonts w:asciiTheme="minorHAnsi" w:hAnsiTheme="minorHAnsi" w:eastAsiaTheme="minorEastAsia" w:cstheme="minorBidi"/>
      <w:sz w:val="18"/>
      <w:szCs w:val="18"/>
      <w:lang w:val="en-US" w:eastAsia="zh-CN" w:bidi="ar-SA"/>
    </w:rPr>
  </w:style>
  <w:style w:type="character" w:customStyle="1" w:styleId="25">
    <w:name w:val="font71"/>
    <w:basedOn w:val="13"/>
    <w:qFormat/>
    <w:uiPriority w:val="0"/>
    <w:rPr>
      <w:rFonts w:ascii="Arial" w:hAnsi="Arial" w:cs="Arial"/>
      <w:color w:val="000000"/>
      <w:sz w:val="20"/>
      <w:szCs w:val="20"/>
      <w:u w:val="none"/>
    </w:rPr>
  </w:style>
  <w:style w:type="character" w:customStyle="1" w:styleId="26">
    <w:name w:val="font61"/>
    <w:basedOn w:val="13"/>
    <w:qFormat/>
    <w:uiPriority w:val="0"/>
    <w:rPr>
      <w:rFonts w:hint="eastAsia" w:ascii="宋体" w:hAnsi="宋体" w:eastAsia="宋体" w:cs="宋体"/>
      <w:color w:val="000000"/>
      <w:sz w:val="20"/>
      <w:szCs w:val="20"/>
      <w:u w:val="none"/>
    </w:rPr>
  </w:style>
  <w:style w:type="character" w:customStyle="1" w:styleId="27">
    <w:name w:val="font21"/>
    <w:basedOn w:val="13"/>
    <w:qFormat/>
    <w:uiPriority w:val="0"/>
    <w:rPr>
      <w:rFonts w:hint="eastAsia" w:ascii="宋体" w:hAnsi="宋体" w:eastAsia="宋体" w:cs="宋体"/>
      <w:color w:val="000000"/>
      <w:sz w:val="20"/>
      <w:szCs w:val="20"/>
      <w:u w:val="none"/>
    </w:rPr>
  </w:style>
  <w:style w:type="paragraph" w:customStyle="1" w:styleId="28">
    <w:name w:val="p1"/>
    <w:basedOn w:val="1"/>
    <w:qFormat/>
    <w:uiPriority w:val="0"/>
    <w:pPr>
      <w:spacing w:before="0" w:beforeAutospacing="0" w:after="0" w:afterAutospacing="0"/>
      <w:ind w:left="0" w:right="0"/>
      <w:jc w:val="left"/>
    </w:pPr>
    <w:rPr>
      <w:rFonts w:ascii="helvetica" w:hAnsi="helvetica" w:eastAsia="helvetica" w:cs="helvetica"/>
      <w:color w:val="000000"/>
      <w:kern w:val="0"/>
      <w:sz w:val="30"/>
      <w:szCs w:val="30"/>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24</Pages>
  <Words>69</Words>
  <Characters>891</Characters>
  <Lines>86</Lines>
  <Paragraphs>24</Paragraphs>
  <TotalTime>12</TotalTime>
  <ScaleCrop>false</ScaleCrop>
  <LinksUpToDate>false</LinksUpToDate>
  <CharactersWithSpaces>893</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2023-08-07T15:55:00Z</dcterms:created>
  <dc:creator>王明新TIAD</dc:creator>
  <cp:lastModifiedBy>kylin</cp:lastModifiedBy>
  <cp:lastPrinted>2023-08-07T09:00:00Z</cp:lastPrinted>
  <dcterms:modified xsi:type="dcterms:W3CDTF">2026-01-14T15:58:33Z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4DD241A32C2A74221E599C68814E8004_43</vt:lpwstr>
  </property>
  <property fmtid="{D5CDD505-2E9C-101B-9397-08002B2CF9AE}" pid="4" name="KSOTemplateUUID">
    <vt:lpwstr>v1.0_mb_S7ajbG3IpAnL1wSthNCxfw==</vt:lpwstr>
  </property>
  <property fmtid="{D5CDD505-2E9C-101B-9397-08002B2CF9AE}" pid="5" name="KSOTemplateDocerSaveRecord">
    <vt:lpwstr>eyJoZGlkIjoiODczM2M4Y2Y4MWZjZmRiODkyNDdiNmU1ZGM2NGRkOWEiLCJ1c2VySWQiOiI1OTM0MzU5MTkifQ==</vt:lpwstr>
  </property>
</Properties>
</file>