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rPr>
          <w:rFonts w:asciiTheme="minorEastAsia" w:hAnsiTheme="minorEastAsia" w:cstheme="minorEastAsia"/>
          <w:color w:val="000000"/>
          <w:sz w:val="22"/>
          <w:szCs w:val="22"/>
        </w:rPr>
      </w:pPr>
    </w:p>
    <w:p>
      <w:pPr>
        <w:spacing w:line="600" w:lineRule="auto"/>
        <w:rPr>
          <w:rFonts w:asciiTheme="minorEastAsia" w:hAnsiTheme="minorEastAsia" w:cstheme="minorEastAsia"/>
          <w:color w:val="000000"/>
          <w:sz w:val="22"/>
          <w:szCs w:val="22"/>
        </w:rPr>
      </w:pPr>
    </w:p>
    <w:p>
      <w:pPr>
        <w:spacing w:line="600" w:lineRule="auto"/>
        <w:rPr>
          <w:rFonts w:asciiTheme="minorEastAsia" w:hAnsiTheme="minorEastAsia" w:cstheme="minorEastAsia"/>
          <w:color w:val="000000"/>
          <w:sz w:val="22"/>
          <w:szCs w:val="22"/>
        </w:rPr>
      </w:pPr>
    </w:p>
    <w:p>
      <w:pPr>
        <w:widowControl/>
        <w:jc w:val="center"/>
        <w:rPr>
          <w:rFonts w:ascii="Fz_S_BiaoSong_Jt" w:eastAsia="Fz_S_BiaoSong_Jt"/>
          <w:sz w:val="48"/>
          <w:szCs w:val="48"/>
        </w:rPr>
      </w:pPr>
      <w:bookmarkStart w:id="0" w:name="_GoBack"/>
      <w:r>
        <w:rPr>
          <w:rFonts w:ascii="Fz_S_BiaoSong_Jt" w:eastAsia="Fz_S_BiaoSong_Jt"/>
          <w:sz w:val="48"/>
          <w:szCs w:val="48"/>
        </w:rPr>
        <w:t>天津市东丽区人民政府无瑕街道办事处</w:t>
      </w:r>
    </w:p>
    <w:p>
      <w:pPr>
        <w:widowControl/>
        <w:jc w:val="center"/>
        <w:rPr>
          <w:rFonts w:ascii="Times New Roman" w:eastAsia="Fz_S_BiaoSong_Jt"/>
          <w:sz w:val="48"/>
          <w:szCs w:val="48"/>
        </w:rPr>
      </w:pPr>
      <w:r>
        <w:rPr>
          <w:rFonts w:ascii="Times New Roman" w:eastAsia="Fz_S_BiaoSong_Jt"/>
          <w:sz w:val="48"/>
          <w:szCs w:val="48"/>
        </w:rPr>
        <w:t>2024年度部门决算</w:t>
      </w:r>
    </w:p>
    <w:p>
      <w:pPr>
        <w:spacing w:line="600" w:lineRule="auto"/>
        <w:rPr>
          <w:rFonts w:asciiTheme="minorEastAsia" w:hAnsiTheme="minorEastAsia" w:cstheme="minorEastAsia"/>
          <w:color w:val="000000"/>
          <w:sz w:val="22"/>
          <w:szCs w:val="22"/>
        </w:rPr>
      </w:pPr>
    </w:p>
    <w:bookmarkEnd w:id="0"/>
    <w:p>
      <w:pPr>
        <w:spacing w:line="600" w:lineRule="auto"/>
        <w:rPr>
          <w:rFonts w:asciiTheme="minorEastAsia" w:hAnsiTheme="minorEastAsia" w:cstheme="minorEastAsia"/>
          <w:color w:val="000000"/>
          <w:sz w:val="22"/>
          <w:szCs w:val="22"/>
        </w:rPr>
      </w:pPr>
    </w:p>
    <w:p>
      <w:pPr>
        <w:spacing w:line="600" w:lineRule="auto"/>
        <w:rPr>
          <w:rFonts w:asciiTheme="minorEastAsia" w:hAnsiTheme="minorEastAsia" w:cstheme="minorEastAsia"/>
          <w:color w:val="000000"/>
          <w:sz w:val="22"/>
          <w:szCs w:val="22"/>
        </w:rPr>
      </w:pPr>
    </w:p>
    <w:p>
      <w:pP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br w:type="page"/>
      </w:r>
    </w:p>
    <w:p>
      <w:pPr>
        <w:widowControl/>
        <w:jc w:val="center"/>
        <w:outlineLvl w:val="0"/>
        <w:rPr>
          <w:rFonts w:ascii="宋体" w:eastAsia="黑体"/>
          <w:sz w:val="44"/>
          <w:szCs w:val="44"/>
        </w:rPr>
      </w:pPr>
      <w:r>
        <w:rPr>
          <w:rFonts w:ascii="宋体" w:eastAsia="黑体"/>
          <w:sz w:val="44"/>
          <w:szCs w:val="44"/>
        </w:rPr>
        <w:t>目  录</w:t>
      </w:r>
    </w:p>
    <w:p>
      <w:pPr>
        <w:widowControl/>
        <w:jc w:val="left"/>
        <w:rPr>
          <w:rFonts w:ascii="黑体" w:eastAsia="黑体"/>
          <w:sz w:val="30"/>
          <w:szCs w:val="30"/>
        </w:rPr>
      </w:pPr>
      <w:r>
        <w:rPr>
          <w:rFonts w:ascii="黑体" w:eastAsia="黑体"/>
          <w:sz w:val="30"/>
          <w:szCs w:val="30"/>
        </w:rPr>
        <w:t>第一部分   概况</w:t>
      </w:r>
    </w:p>
    <w:p>
      <w:pPr>
        <w:widowControl/>
        <w:ind w:firstLine="600" w:firstLineChars="200"/>
        <w:jc w:val="left"/>
        <w:rPr>
          <w:rFonts w:ascii="宋体" w:eastAsia="仿宋_GB2312"/>
          <w:sz w:val="30"/>
          <w:szCs w:val="30"/>
        </w:rPr>
      </w:pPr>
      <w:r>
        <w:rPr>
          <w:rFonts w:ascii="宋体" w:eastAsia="仿宋_GB2312"/>
          <w:sz w:val="30"/>
          <w:szCs w:val="30"/>
        </w:rPr>
        <w:t>一、主要职责</w:t>
      </w:r>
    </w:p>
    <w:p>
      <w:pPr>
        <w:widowControl/>
        <w:ind w:firstLine="600" w:firstLineChars="200"/>
        <w:jc w:val="left"/>
        <w:rPr>
          <w:rFonts w:ascii="宋体" w:eastAsia="仿宋_GB2312"/>
          <w:sz w:val="30"/>
          <w:szCs w:val="30"/>
        </w:rPr>
      </w:pPr>
      <w:r>
        <w:rPr>
          <w:rFonts w:ascii="宋体" w:eastAsia="仿宋_GB2312"/>
          <w:sz w:val="30"/>
          <w:szCs w:val="30"/>
        </w:rPr>
        <w:t>二、机构设置</w:t>
      </w:r>
    </w:p>
    <w:p>
      <w:pPr>
        <w:widowControl/>
        <w:jc w:val="left"/>
        <w:rPr>
          <w:rFonts w:ascii="黑体" w:eastAsia="黑体"/>
          <w:sz w:val="30"/>
          <w:szCs w:val="30"/>
        </w:rPr>
      </w:pPr>
      <w:r>
        <w:rPr>
          <w:rFonts w:ascii="黑体" w:eastAsia="黑体"/>
          <w:sz w:val="30"/>
          <w:szCs w:val="30"/>
        </w:rPr>
        <w:t>第二部分   2024年度部门决算报表</w:t>
      </w:r>
    </w:p>
    <w:p>
      <w:pPr>
        <w:widowControl/>
        <w:ind w:firstLine="600" w:firstLineChars="200"/>
        <w:jc w:val="left"/>
        <w:rPr>
          <w:rFonts w:ascii="宋体" w:eastAsia="仿宋_GB2312"/>
          <w:sz w:val="30"/>
          <w:szCs w:val="30"/>
        </w:rPr>
      </w:pPr>
      <w:r>
        <w:rPr>
          <w:rFonts w:ascii="宋体" w:eastAsia="仿宋_GB2312"/>
          <w:sz w:val="30"/>
          <w:szCs w:val="30"/>
        </w:rPr>
        <w:t>一、收入支出决算总表</w:t>
      </w:r>
    </w:p>
    <w:p>
      <w:pPr>
        <w:widowControl/>
        <w:ind w:firstLine="600" w:firstLineChars="200"/>
        <w:jc w:val="left"/>
        <w:rPr>
          <w:rFonts w:ascii="宋体" w:eastAsia="仿宋_GB2312"/>
          <w:sz w:val="30"/>
          <w:szCs w:val="30"/>
        </w:rPr>
      </w:pPr>
      <w:r>
        <w:rPr>
          <w:rFonts w:ascii="宋体" w:eastAsia="仿宋_GB2312"/>
          <w:sz w:val="30"/>
          <w:szCs w:val="30"/>
        </w:rPr>
        <w:t>二、收入决算表（按功能分类列示）</w:t>
      </w:r>
    </w:p>
    <w:p>
      <w:pPr>
        <w:widowControl/>
        <w:ind w:firstLine="600" w:firstLineChars="200"/>
        <w:jc w:val="left"/>
        <w:rPr>
          <w:rFonts w:ascii="宋体" w:eastAsia="仿宋_GB2312"/>
          <w:sz w:val="30"/>
          <w:szCs w:val="30"/>
        </w:rPr>
      </w:pPr>
      <w:r>
        <w:rPr>
          <w:rFonts w:ascii="宋体" w:eastAsia="仿宋_GB2312"/>
          <w:sz w:val="30"/>
          <w:szCs w:val="30"/>
        </w:rPr>
        <w:t>三、收入决算表（按单位列示）</w:t>
      </w:r>
    </w:p>
    <w:p>
      <w:pPr>
        <w:widowControl/>
        <w:ind w:firstLine="600" w:firstLineChars="200"/>
        <w:jc w:val="left"/>
        <w:rPr>
          <w:rFonts w:ascii="宋体" w:eastAsia="仿宋_GB2312"/>
          <w:sz w:val="30"/>
          <w:szCs w:val="30"/>
        </w:rPr>
      </w:pPr>
      <w:r>
        <w:rPr>
          <w:rFonts w:ascii="宋体" w:eastAsia="仿宋_GB2312"/>
          <w:sz w:val="30"/>
          <w:szCs w:val="30"/>
        </w:rPr>
        <w:t>四、支出决算表</w:t>
      </w:r>
    </w:p>
    <w:p>
      <w:pPr>
        <w:widowControl/>
        <w:ind w:firstLine="600" w:firstLineChars="200"/>
        <w:jc w:val="left"/>
        <w:rPr>
          <w:rFonts w:ascii="宋体" w:eastAsia="仿宋_GB2312"/>
          <w:sz w:val="30"/>
          <w:szCs w:val="30"/>
        </w:rPr>
      </w:pPr>
      <w:r>
        <w:rPr>
          <w:rFonts w:ascii="宋体" w:eastAsia="仿宋_GB2312"/>
          <w:sz w:val="30"/>
          <w:szCs w:val="30"/>
        </w:rPr>
        <w:t>五、财政拨款收入支出决算总表</w:t>
      </w:r>
    </w:p>
    <w:p>
      <w:pPr>
        <w:widowControl/>
        <w:ind w:firstLine="600" w:firstLineChars="200"/>
        <w:jc w:val="left"/>
        <w:rPr>
          <w:rFonts w:ascii="宋体" w:eastAsia="仿宋_GB2312"/>
          <w:sz w:val="30"/>
          <w:szCs w:val="30"/>
        </w:rPr>
      </w:pPr>
      <w:r>
        <w:rPr>
          <w:rFonts w:ascii="宋体" w:eastAsia="仿宋_GB2312"/>
          <w:sz w:val="30"/>
          <w:szCs w:val="30"/>
        </w:rPr>
        <w:t>六、一般公共预算财政拨款支出决算表</w:t>
      </w:r>
    </w:p>
    <w:p>
      <w:pPr>
        <w:widowControl/>
        <w:ind w:firstLine="600" w:firstLineChars="200"/>
        <w:jc w:val="left"/>
        <w:rPr>
          <w:rFonts w:ascii="宋体" w:eastAsia="仿宋_GB2312"/>
          <w:sz w:val="30"/>
          <w:szCs w:val="30"/>
        </w:rPr>
      </w:pPr>
      <w:r>
        <w:rPr>
          <w:rFonts w:ascii="宋体" w:eastAsia="仿宋_GB2312"/>
          <w:sz w:val="30"/>
          <w:szCs w:val="30"/>
        </w:rPr>
        <w:t>七、一般公共预算财政拨款基本支出决算明细表</w:t>
      </w:r>
    </w:p>
    <w:p>
      <w:pPr>
        <w:widowControl/>
        <w:ind w:firstLine="600" w:firstLineChars="200"/>
        <w:jc w:val="left"/>
        <w:rPr>
          <w:rFonts w:ascii="宋体" w:eastAsia="仿宋_GB2312"/>
          <w:sz w:val="30"/>
          <w:szCs w:val="30"/>
        </w:rPr>
      </w:pPr>
      <w:r>
        <w:rPr>
          <w:rFonts w:ascii="宋体" w:eastAsia="仿宋_GB2312"/>
          <w:sz w:val="30"/>
          <w:szCs w:val="30"/>
        </w:rPr>
        <w:t>八、政府性基金预算财政拨款收入支出决算表</w:t>
      </w:r>
    </w:p>
    <w:p>
      <w:pPr>
        <w:widowControl/>
        <w:ind w:firstLine="600" w:firstLineChars="200"/>
        <w:jc w:val="left"/>
        <w:rPr>
          <w:rFonts w:ascii="宋体" w:eastAsia="仿宋_GB2312"/>
          <w:sz w:val="30"/>
          <w:szCs w:val="30"/>
        </w:rPr>
      </w:pPr>
      <w:r>
        <w:rPr>
          <w:rFonts w:ascii="宋体" w:eastAsia="仿宋_GB2312"/>
          <w:sz w:val="30"/>
          <w:szCs w:val="30"/>
        </w:rPr>
        <w:t>九、国有资本经营预算财政拨款支出决算表</w:t>
      </w:r>
    </w:p>
    <w:p>
      <w:pPr>
        <w:widowControl/>
        <w:ind w:firstLine="600" w:firstLineChars="200"/>
        <w:jc w:val="left"/>
        <w:rPr>
          <w:rFonts w:ascii="宋体" w:eastAsia="仿宋_GB2312"/>
          <w:sz w:val="30"/>
          <w:szCs w:val="30"/>
        </w:rPr>
      </w:pPr>
      <w:r>
        <w:rPr>
          <w:rFonts w:ascii="宋体" w:eastAsia="仿宋_GB2312"/>
          <w:sz w:val="30"/>
          <w:szCs w:val="30"/>
        </w:rPr>
        <w:t>十、财政拨款“三公”经费支出决算表</w:t>
      </w:r>
    </w:p>
    <w:p>
      <w:pPr>
        <w:widowControl/>
        <w:ind w:firstLine="600" w:firstLineChars="200"/>
        <w:jc w:val="left"/>
        <w:rPr>
          <w:rFonts w:ascii="宋体" w:eastAsia="仿宋_GB2312"/>
          <w:sz w:val="30"/>
          <w:szCs w:val="30"/>
        </w:rPr>
      </w:pPr>
      <w:r>
        <w:rPr>
          <w:rFonts w:ascii="宋体" w:eastAsia="仿宋_GB2312"/>
          <w:sz w:val="30"/>
          <w:szCs w:val="30"/>
        </w:rPr>
        <w:t>十一、项目支出决算表</w:t>
      </w:r>
    </w:p>
    <w:p>
      <w:pPr>
        <w:widowControl/>
        <w:jc w:val="left"/>
        <w:rPr>
          <w:rFonts w:ascii="黑体" w:eastAsia="黑体"/>
          <w:sz w:val="30"/>
          <w:szCs w:val="30"/>
        </w:rPr>
      </w:pPr>
      <w:r>
        <w:rPr>
          <w:rFonts w:ascii="黑体" w:eastAsia="黑体"/>
          <w:sz w:val="30"/>
          <w:szCs w:val="30"/>
        </w:rPr>
        <w:t>第三部分   2024年度部门决算情况说明</w:t>
      </w:r>
    </w:p>
    <w:p>
      <w:pPr>
        <w:widowControl/>
        <w:ind w:firstLine="600" w:firstLineChars="200"/>
        <w:jc w:val="left"/>
        <w:rPr>
          <w:rFonts w:ascii="宋体" w:eastAsia="仿宋_GB2312"/>
          <w:sz w:val="30"/>
          <w:szCs w:val="30"/>
        </w:rPr>
      </w:pPr>
      <w:r>
        <w:rPr>
          <w:rFonts w:ascii="宋体" w:eastAsia="仿宋_GB2312"/>
          <w:sz w:val="30"/>
          <w:szCs w:val="30"/>
        </w:rPr>
        <w:t>一、收支决算总体情况说明</w:t>
      </w:r>
    </w:p>
    <w:p>
      <w:pPr>
        <w:widowControl/>
        <w:ind w:firstLine="600" w:firstLineChars="200"/>
        <w:jc w:val="left"/>
        <w:rPr>
          <w:rFonts w:ascii="宋体" w:eastAsia="仿宋_GB2312"/>
          <w:sz w:val="30"/>
          <w:szCs w:val="30"/>
        </w:rPr>
      </w:pPr>
      <w:r>
        <w:rPr>
          <w:rFonts w:ascii="宋体" w:eastAsia="仿宋_GB2312"/>
          <w:sz w:val="30"/>
          <w:szCs w:val="30"/>
        </w:rPr>
        <w:t>二、收入决算情况说明</w:t>
      </w:r>
    </w:p>
    <w:p>
      <w:pPr>
        <w:widowControl/>
        <w:ind w:firstLine="600" w:firstLineChars="200"/>
        <w:jc w:val="left"/>
        <w:rPr>
          <w:rFonts w:ascii="宋体" w:eastAsia="仿宋_GB2312"/>
          <w:sz w:val="30"/>
          <w:szCs w:val="30"/>
        </w:rPr>
      </w:pPr>
      <w:r>
        <w:rPr>
          <w:rFonts w:ascii="宋体" w:eastAsia="仿宋_GB2312"/>
          <w:sz w:val="30"/>
          <w:szCs w:val="30"/>
        </w:rPr>
        <w:t>三、支出决算情况说明</w:t>
      </w:r>
    </w:p>
    <w:p>
      <w:pPr>
        <w:widowControl/>
        <w:ind w:firstLine="600" w:firstLineChars="200"/>
        <w:jc w:val="left"/>
        <w:rPr>
          <w:rFonts w:ascii="宋体" w:eastAsia="仿宋_GB2312"/>
          <w:sz w:val="30"/>
          <w:szCs w:val="30"/>
        </w:rPr>
      </w:pPr>
      <w:r>
        <w:rPr>
          <w:rFonts w:ascii="宋体" w:eastAsia="仿宋_GB2312"/>
          <w:sz w:val="30"/>
          <w:szCs w:val="30"/>
        </w:rPr>
        <w:t>四、财政拨款收支决算总体情况说明</w:t>
      </w:r>
    </w:p>
    <w:p>
      <w:pPr>
        <w:widowControl/>
        <w:ind w:firstLine="600" w:firstLineChars="200"/>
        <w:jc w:val="left"/>
        <w:rPr>
          <w:rFonts w:ascii="宋体" w:eastAsia="仿宋_GB2312"/>
          <w:sz w:val="30"/>
          <w:szCs w:val="30"/>
        </w:rPr>
      </w:pPr>
      <w:r>
        <w:rPr>
          <w:rFonts w:ascii="宋体" w:eastAsia="仿宋_GB2312"/>
          <w:sz w:val="30"/>
          <w:szCs w:val="30"/>
        </w:rPr>
        <w:t>五、一般公共预算财政拨款支出决算情况说明</w:t>
      </w:r>
    </w:p>
    <w:p>
      <w:pPr>
        <w:widowControl/>
        <w:ind w:firstLine="600" w:firstLineChars="200"/>
        <w:jc w:val="left"/>
        <w:rPr>
          <w:rFonts w:ascii="宋体" w:eastAsia="仿宋_GB2312"/>
          <w:sz w:val="30"/>
          <w:szCs w:val="30"/>
        </w:rPr>
      </w:pPr>
      <w:r>
        <w:rPr>
          <w:rFonts w:ascii="宋体" w:eastAsia="仿宋_GB2312"/>
          <w:sz w:val="30"/>
          <w:szCs w:val="30"/>
        </w:rPr>
        <w:t>六、一般公共预算财政拨款基本支出决算情况说明</w:t>
      </w:r>
    </w:p>
    <w:p>
      <w:pPr>
        <w:widowControl/>
        <w:ind w:firstLine="600" w:firstLineChars="200"/>
        <w:jc w:val="left"/>
        <w:rPr>
          <w:rFonts w:ascii="宋体" w:eastAsia="仿宋_GB2312"/>
          <w:sz w:val="30"/>
          <w:szCs w:val="30"/>
        </w:rPr>
      </w:pPr>
      <w:r>
        <w:rPr>
          <w:rFonts w:ascii="宋体" w:eastAsia="仿宋_GB2312"/>
          <w:sz w:val="30"/>
          <w:szCs w:val="30"/>
        </w:rPr>
        <w:t>七、政府性基金预算财政拨款收支决算情况说明</w:t>
      </w:r>
    </w:p>
    <w:p>
      <w:pPr>
        <w:widowControl/>
        <w:ind w:firstLine="600" w:firstLineChars="200"/>
        <w:jc w:val="left"/>
        <w:rPr>
          <w:rFonts w:ascii="宋体" w:eastAsia="仿宋_GB2312"/>
          <w:sz w:val="30"/>
          <w:szCs w:val="30"/>
        </w:rPr>
      </w:pPr>
      <w:r>
        <w:rPr>
          <w:rFonts w:ascii="宋体" w:eastAsia="仿宋_GB2312"/>
          <w:sz w:val="30"/>
          <w:szCs w:val="30"/>
        </w:rPr>
        <w:t>八、国有资本经营预算财政拨款收支决算情况说明</w:t>
      </w:r>
    </w:p>
    <w:p>
      <w:pPr>
        <w:widowControl/>
        <w:ind w:firstLine="600" w:firstLineChars="200"/>
        <w:jc w:val="left"/>
        <w:rPr>
          <w:rFonts w:ascii="宋体" w:eastAsia="仿宋_GB2312"/>
          <w:sz w:val="30"/>
          <w:szCs w:val="30"/>
        </w:rPr>
      </w:pPr>
      <w:r>
        <w:rPr>
          <w:rFonts w:ascii="宋体" w:eastAsia="仿宋_GB2312"/>
          <w:sz w:val="30"/>
          <w:szCs w:val="30"/>
        </w:rPr>
        <w:t>九、财政拨款“三公”经费支出决算情况说明</w:t>
      </w:r>
    </w:p>
    <w:p>
      <w:pPr>
        <w:widowControl/>
        <w:ind w:firstLine="600" w:firstLineChars="200"/>
        <w:jc w:val="left"/>
        <w:rPr>
          <w:rFonts w:ascii="宋体" w:eastAsia="仿宋_GB2312"/>
          <w:sz w:val="30"/>
          <w:szCs w:val="30"/>
        </w:rPr>
      </w:pPr>
      <w:r>
        <w:rPr>
          <w:rFonts w:ascii="宋体" w:eastAsia="仿宋_GB2312"/>
          <w:sz w:val="30"/>
          <w:szCs w:val="30"/>
        </w:rPr>
        <w:t>十、机关运行经费支出情况说明</w:t>
      </w:r>
    </w:p>
    <w:p>
      <w:pPr>
        <w:widowControl/>
        <w:ind w:firstLine="600" w:firstLineChars="200"/>
        <w:jc w:val="left"/>
        <w:rPr>
          <w:rFonts w:ascii="宋体" w:eastAsia="仿宋_GB2312"/>
          <w:sz w:val="30"/>
          <w:szCs w:val="30"/>
        </w:rPr>
      </w:pPr>
      <w:r>
        <w:rPr>
          <w:rFonts w:ascii="宋体" w:eastAsia="仿宋_GB2312"/>
          <w:sz w:val="30"/>
          <w:szCs w:val="30"/>
        </w:rPr>
        <w:t>十一、政府采购支出情况说明</w:t>
      </w:r>
    </w:p>
    <w:p>
      <w:pPr>
        <w:widowControl/>
        <w:ind w:firstLine="600" w:firstLineChars="200"/>
        <w:jc w:val="left"/>
        <w:rPr>
          <w:rFonts w:ascii="宋体" w:eastAsia="仿宋_GB2312"/>
          <w:sz w:val="30"/>
          <w:szCs w:val="30"/>
        </w:rPr>
      </w:pPr>
      <w:r>
        <w:rPr>
          <w:rFonts w:ascii="宋体" w:eastAsia="仿宋_GB2312"/>
          <w:sz w:val="30"/>
          <w:szCs w:val="30"/>
        </w:rPr>
        <w:t>十二、国有资产占有使用情况说明</w:t>
      </w:r>
    </w:p>
    <w:p>
      <w:pPr>
        <w:widowControl/>
        <w:ind w:firstLine="600" w:firstLineChars="200"/>
        <w:jc w:val="left"/>
        <w:rPr>
          <w:rFonts w:ascii="宋体" w:eastAsia="仿宋_GB2312"/>
          <w:sz w:val="30"/>
          <w:szCs w:val="30"/>
        </w:rPr>
      </w:pPr>
      <w:r>
        <w:rPr>
          <w:rFonts w:ascii="宋体" w:eastAsia="仿宋_GB2312"/>
          <w:sz w:val="30"/>
          <w:szCs w:val="30"/>
        </w:rPr>
        <w:t>十三、预算绩效情况说明</w:t>
      </w:r>
    </w:p>
    <w:p>
      <w:pPr>
        <w:widowControl/>
        <w:ind w:firstLine="600" w:firstLineChars="200"/>
        <w:jc w:val="left"/>
        <w:rPr>
          <w:rFonts w:ascii="宋体" w:eastAsia="仿宋_GB2312"/>
          <w:sz w:val="30"/>
          <w:szCs w:val="30"/>
        </w:rPr>
      </w:pPr>
      <w:r>
        <w:rPr>
          <w:rFonts w:ascii="宋体" w:eastAsia="仿宋_GB2312"/>
          <w:sz w:val="30"/>
          <w:szCs w:val="30"/>
        </w:rPr>
        <w:t>十四、教育、医疗卫生、社会保障和就业、住房保障、涉农补贴等民生支出情况说明</w:t>
      </w:r>
    </w:p>
    <w:p>
      <w:pPr>
        <w:widowControl/>
        <w:jc w:val="left"/>
        <w:rPr>
          <w:rFonts w:ascii="黑体" w:eastAsia="黑体"/>
          <w:sz w:val="30"/>
          <w:szCs w:val="30"/>
        </w:rPr>
      </w:pPr>
      <w:r>
        <w:rPr>
          <w:rFonts w:ascii="黑体" w:eastAsia="黑体"/>
          <w:sz w:val="30"/>
          <w:szCs w:val="30"/>
        </w:rPr>
        <w:t>第四部分   名词解释</w:t>
      </w:r>
    </w:p>
    <w:p>
      <w:pPr>
        <w:rPr>
          <w:rFonts w:asciiTheme="minorEastAsia" w:hAnsiTheme="minorEastAsia" w:cstheme="minorEastAsia"/>
          <w:sz w:val="22"/>
          <w:szCs w:val="22"/>
          <w:highlight w:val="yellow"/>
        </w:rPr>
      </w:pPr>
    </w:p>
    <w:p>
      <w:pPr>
        <w:snapToGrid w:val="0"/>
        <w:jc w:val="left"/>
        <w:rPr>
          <w:rFonts w:asciiTheme="minorEastAsia" w:hAnsiTheme="minorEastAsia" w:cstheme="minorEastAsia"/>
          <w:color w:val="000000" w:themeColor="text1"/>
          <w:sz w:val="22"/>
          <w:szCs w:val="22"/>
        </w:rPr>
      </w:pPr>
    </w:p>
    <w:p>
      <w:pPr>
        <w:snapToGrid w:val="0"/>
        <w:jc w:val="left"/>
        <w:rPr>
          <w:rFonts w:asciiTheme="minorEastAsia" w:hAnsiTheme="minorEastAsia" w:cstheme="minorEastAsia"/>
          <w:color w:val="000000" w:themeColor="text1"/>
          <w:sz w:val="22"/>
          <w:szCs w:val="22"/>
        </w:rPr>
        <w:sectPr>
          <w:footerReference r:id="rId3" w:type="default"/>
          <w:pgSz w:w="11906" w:h="16838"/>
          <w:pgMar w:top="1531" w:right="1701" w:bottom="1531" w:left="1701" w:header="851" w:footer="992" w:gutter="0"/>
          <w:cols w:space="720" w:num="1"/>
          <w:docGrid w:type="lines" w:linePitch="312" w:charSpace="0"/>
        </w:sectPr>
      </w:pPr>
    </w:p>
    <w:p>
      <w:pPr>
        <w:widowControl/>
        <w:jc w:val="center"/>
        <w:outlineLvl w:val="0"/>
        <w:rPr>
          <w:rFonts w:ascii="黑体" w:eastAsia="黑体"/>
          <w:sz w:val="44"/>
          <w:szCs w:val="44"/>
        </w:rPr>
      </w:pPr>
      <w:r>
        <w:rPr>
          <w:rFonts w:ascii="黑体" w:eastAsia="黑体"/>
          <w:sz w:val="44"/>
          <w:szCs w:val="44"/>
        </w:rPr>
        <w:t>第一部分  概况</w:t>
      </w:r>
    </w:p>
    <w:p>
      <w:pPr>
        <w:widowControl/>
        <w:ind w:firstLine="600" w:firstLineChars="200"/>
        <w:jc w:val="left"/>
        <w:outlineLvl w:val="1"/>
        <w:rPr>
          <w:rFonts w:ascii="宋体" w:eastAsia="黑体"/>
          <w:sz w:val="30"/>
          <w:szCs w:val="30"/>
        </w:rPr>
      </w:pPr>
      <w:r>
        <w:rPr>
          <w:rFonts w:ascii="宋体" w:eastAsia="黑体"/>
          <w:sz w:val="30"/>
          <w:szCs w:val="30"/>
        </w:rPr>
        <w:t>一、主要职责</w:t>
      </w:r>
    </w:p>
    <w:p>
      <w:pPr>
        <w:widowControl/>
        <w:ind w:firstLine="600" w:firstLineChars="200"/>
        <w:jc w:val="left"/>
        <w:rPr>
          <w:rFonts w:ascii="Times New Roman" w:eastAsia="仿宋_GB2312"/>
          <w:sz w:val="30"/>
          <w:szCs w:val="30"/>
        </w:rPr>
      </w:pPr>
      <w:r>
        <w:rPr>
          <w:rFonts w:ascii="Times New Roman" w:eastAsia="仿宋_GB2312"/>
          <w:sz w:val="30"/>
          <w:szCs w:val="30"/>
        </w:rPr>
        <w:t>贯彻执行上级党委、政府的决定、指示和命令，按照职责权限依法行使行政职能。负责做好街道企业的服务和管理工作，配合政府有关部门做好城区管理工作，加强辖区市容和环境卫生管理；组织开展爱国卫生运动；净化、绿化、美化城市环境。加强社区建设和管理。组织开展社会治安综合治理工作，做好人民调解、治安防范等工作，维护社会安定团结；组织开展群众文化、体育活动，营造健康向上的社区文化氛围；普及科学常识，提高居民文明素质。加强辖区内社会事务的管理。负责计划生育工作，加强流动人口的计划生育管理；协助有关部门做好失业登记、劳动就业、婚姻管理和拥军优属、民兵预备役、征兵、消防、人民防控等工作；做好社会救助、社会保障工作；兴办社会福利事业，维护老年人、妇女、未成年人残疾人的合法权益。协助上级人大、政协组织，组织好辖区内人大代表、政协委员的学习、视察、调研等活动，支持人大代表、政协委员行使权利、履行职责。及时向区政府反映居民群众的重要意见和要求，认真办理人民群众来信来访事项。完成区委、区政府交办的其他工作事项。</w:t>
      </w:r>
    </w:p>
    <w:p>
      <w:pPr>
        <w:widowControl/>
        <w:ind w:firstLine="600" w:firstLineChars="200"/>
        <w:jc w:val="left"/>
        <w:outlineLvl w:val="1"/>
        <w:rPr>
          <w:rFonts w:ascii="宋体" w:eastAsia="黑体"/>
          <w:sz w:val="30"/>
          <w:szCs w:val="30"/>
        </w:rPr>
      </w:pPr>
      <w:r>
        <w:rPr>
          <w:rFonts w:ascii="宋体" w:eastAsia="黑体"/>
          <w:sz w:val="30"/>
          <w:szCs w:val="30"/>
        </w:rPr>
        <w:t>二、机构设置</w:t>
      </w:r>
    </w:p>
    <w:p>
      <w:pPr>
        <w:widowControl/>
        <w:ind w:firstLine="600" w:firstLineChars="200"/>
        <w:jc w:val="left"/>
        <w:rPr>
          <w:rFonts w:ascii="Times New Roman" w:eastAsia="仿宋_GB2312"/>
          <w:sz w:val="30"/>
          <w:szCs w:val="30"/>
        </w:rPr>
      </w:pPr>
      <w:r>
        <w:rPr>
          <w:rFonts w:ascii="Times New Roman" w:eastAsia="仿宋_GB2312"/>
          <w:sz w:val="30"/>
          <w:szCs w:val="30"/>
        </w:rPr>
        <w:t>天津市东丽区人民政府无瑕街道办事处内设7个职能部门；下辖7个预算单位。纳入天津市东丽区人民政府无瑕街道办事处2024年度部门决算编制范围的单位包括：</w:t>
      </w:r>
    </w:p>
    <w:p>
      <w:pPr>
        <w:widowControl/>
        <w:ind w:firstLine="600" w:firstLineChars="200"/>
        <w:jc w:val="left"/>
        <w:rPr>
          <w:rFonts w:ascii="Times New Roman" w:eastAsia="仿宋_GB2312"/>
          <w:sz w:val="30"/>
          <w:szCs w:val="30"/>
        </w:rPr>
      </w:pPr>
    </w:p>
    <w:p>
      <w:pPr>
        <w:widowControl/>
        <w:ind w:firstLine="600" w:firstLineChars="200"/>
        <w:jc w:val="left"/>
        <w:rPr>
          <w:rFonts w:ascii="Times New Roman" w:eastAsia="仿宋_GB2312"/>
          <w:sz w:val="30"/>
          <w:szCs w:val="30"/>
        </w:rPr>
      </w:pPr>
      <w:r>
        <w:rPr>
          <w:rFonts w:ascii="Times New Roman" w:eastAsia="仿宋_GB2312"/>
          <w:sz w:val="30"/>
          <w:szCs w:val="30"/>
        </w:rPr>
        <w:t>1.​天津市东丽区人民政府无瑕街道办事处（本级）</w:t>
      </w:r>
    </w:p>
    <w:p>
      <w:pPr>
        <w:widowControl/>
        <w:ind w:firstLine="600" w:firstLineChars="200"/>
        <w:jc w:val="left"/>
        <w:rPr>
          <w:rFonts w:ascii="Times New Roman" w:eastAsia="仿宋_GB2312"/>
          <w:sz w:val="30"/>
          <w:szCs w:val="30"/>
        </w:rPr>
      </w:pPr>
      <w:r>
        <w:rPr>
          <w:rFonts w:ascii="Times New Roman" w:eastAsia="仿宋_GB2312"/>
          <w:sz w:val="30"/>
          <w:szCs w:val="30"/>
        </w:rPr>
        <w:t>2.​天津市东丽区无瑕街党群服务中心</w:t>
      </w:r>
    </w:p>
    <w:p>
      <w:pPr>
        <w:widowControl/>
        <w:ind w:firstLine="600" w:firstLineChars="200"/>
        <w:jc w:val="left"/>
        <w:rPr>
          <w:rFonts w:ascii="Times New Roman" w:eastAsia="仿宋_GB2312"/>
          <w:sz w:val="30"/>
          <w:szCs w:val="30"/>
        </w:rPr>
      </w:pPr>
      <w:r>
        <w:rPr>
          <w:rFonts w:ascii="Times New Roman" w:eastAsia="仿宋_GB2312"/>
          <w:sz w:val="30"/>
          <w:szCs w:val="30"/>
        </w:rPr>
        <w:t>3.​天津市东丽区无瑕街综合治理中心</w:t>
      </w:r>
    </w:p>
    <w:p>
      <w:pPr>
        <w:widowControl/>
        <w:ind w:firstLine="600" w:firstLineChars="200"/>
        <w:jc w:val="left"/>
        <w:rPr>
          <w:rFonts w:ascii="Times New Roman" w:eastAsia="仿宋_GB2312"/>
          <w:sz w:val="30"/>
          <w:szCs w:val="30"/>
        </w:rPr>
      </w:pPr>
      <w:r>
        <w:rPr>
          <w:rFonts w:ascii="Times New Roman" w:eastAsia="仿宋_GB2312"/>
          <w:sz w:val="30"/>
          <w:szCs w:val="30"/>
        </w:rPr>
        <w:t>4.​天津市东丽区无瑕街经济发展中心</w:t>
      </w:r>
    </w:p>
    <w:p>
      <w:pPr>
        <w:widowControl/>
        <w:ind w:firstLine="600" w:firstLineChars="200"/>
        <w:jc w:val="left"/>
        <w:rPr>
          <w:rFonts w:ascii="Times New Roman" w:eastAsia="仿宋_GB2312"/>
          <w:sz w:val="30"/>
          <w:szCs w:val="30"/>
        </w:rPr>
      </w:pPr>
      <w:r>
        <w:rPr>
          <w:rFonts w:ascii="Times New Roman" w:eastAsia="仿宋_GB2312"/>
          <w:sz w:val="30"/>
          <w:szCs w:val="30"/>
        </w:rPr>
        <w:t>5.​天津市东丽区无瑕街财务中心</w:t>
      </w:r>
    </w:p>
    <w:p>
      <w:pPr>
        <w:widowControl/>
        <w:ind w:firstLine="600" w:firstLineChars="200"/>
        <w:jc w:val="left"/>
        <w:rPr>
          <w:rFonts w:ascii="Times New Roman" w:eastAsia="仿宋_GB2312"/>
          <w:sz w:val="30"/>
          <w:szCs w:val="30"/>
        </w:rPr>
      </w:pPr>
      <w:r>
        <w:rPr>
          <w:rFonts w:ascii="Times New Roman" w:eastAsia="仿宋_GB2312"/>
          <w:sz w:val="30"/>
          <w:szCs w:val="30"/>
        </w:rPr>
        <w:t>6.​天津市东丽区无瑕街退役军人服务站</w:t>
      </w:r>
    </w:p>
    <w:p>
      <w:pPr>
        <w:widowControl/>
        <w:ind w:firstLine="600" w:firstLineChars="200"/>
        <w:jc w:val="left"/>
        <w:rPr>
          <w:rFonts w:ascii="Times New Roman" w:eastAsia="仿宋_GB2312"/>
          <w:sz w:val="30"/>
          <w:szCs w:val="30"/>
        </w:rPr>
      </w:pPr>
      <w:r>
        <w:rPr>
          <w:rFonts w:ascii="Times New Roman" w:eastAsia="仿宋_GB2312"/>
          <w:sz w:val="30"/>
          <w:szCs w:val="30"/>
        </w:rPr>
        <w:t>7.​天津市东丽区无瑕街乡村振兴服务中心</w:t>
      </w:r>
    </w:p>
    <w:p>
      <w:pPr>
        <w:widowControl/>
        <w:ind w:firstLine="600" w:firstLineChars="200"/>
        <w:jc w:val="left"/>
        <w:rPr>
          <w:rFonts w:ascii="Times New Roman" w:eastAsia="仿宋_GB2312"/>
          <w:sz w:val="30"/>
          <w:szCs w:val="30"/>
        </w:rPr>
      </w:pPr>
      <w:r>
        <w:rPr>
          <w:rFonts w:ascii="Times New Roman" w:eastAsia="仿宋_GB2312"/>
          <w:sz w:val="30"/>
          <w:szCs w:val="30"/>
        </w:rPr>
        <w:t>8.​天津市东丽区无瑕街综合执法大队</w:t>
      </w:r>
    </w:p>
    <w:p>
      <w:pPr>
        <w:rPr>
          <w:rFonts w:asciiTheme="minorEastAsia" w:hAnsiTheme="minorEastAsia" w:cstheme="minorEastAsia"/>
          <w:color w:val="000000"/>
          <w:sz w:val="22"/>
          <w:szCs w:val="22"/>
          <w:shd w:val="clear" w:color="auto" w:fill="FFFFFF"/>
        </w:rPr>
        <w:sectPr>
          <w:headerReference r:id="rId4" w:type="default"/>
          <w:footerReference r:id="rId5" w:type="default"/>
          <w:pgSz w:w="11906" w:h="16838"/>
          <w:pgMar w:top="1531" w:right="1984" w:bottom="1531" w:left="2098" w:header="851" w:footer="992" w:gutter="0"/>
          <w:pgNumType w:start="1"/>
          <w:cols w:space="720" w:num="1"/>
          <w:docGrid w:type="lines" w:linePitch="312" w:charSpace="0"/>
        </w:sectPr>
      </w:pPr>
    </w:p>
    <w:p>
      <w:pPr>
        <w:widowControl/>
        <w:jc w:val="center"/>
        <w:outlineLvl w:val="0"/>
        <w:rPr>
          <w:rFonts w:ascii="黑体" w:eastAsia="黑体"/>
          <w:sz w:val="44"/>
          <w:szCs w:val="44"/>
        </w:rPr>
      </w:pPr>
      <w:r>
        <w:rPr>
          <w:rFonts w:ascii="黑体" w:eastAsia="黑体"/>
          <w:sz w:val="44"/>
          <w:szCs w:val="44"/>
        </w:rPr>
        <w:t>第二部分  2024年度部门决算报表</w:t>
      </w:r>
    </w:p>
    <w:p>
      <w:pPr>
        <w:pStyle w:val="28"/>
        <w:widowControl/>
        <w:rPr>
          <w:rFonts w:ascii="仿宋" w:hAnsi="仿宋" w:eastAsia="仿宋" w:cs="仿宋"/>
          <w:b/>
          <w:bCs/>
        </w:rPr>
      </w:pPr>
      <w:r>
        <w:rPr>
          <w:rFonts w:hint="eastAsia" w:ascii="仿宋" w:hAnsi="仿宋" w:eastAsia="仿宋" w:cs="仿宋"/>
          <w:b/>
          <w:bCs/>
        </w:rPr>
        <w:t xml:space="preserve">一、收入支出决算总表 </w:t>
      </w:r>
    </w:p>
    <w:tbl>
      <w:tblPr>
        <w:tblStyle w:val="11"/>
        <w:tblW w:w="4999" w:type="pct"/>
        <w:tblInd w:w="0" w:type="dxa"/>
        <w:tblLayout w:type="autofit"/>
        <w:tblCellMar>
          <w:top w:w="0" w:type="dxa"/>
          <w:left w:w="108" w:type="dxa"/>
          <w:bottom w:w="0" w:type="dxa"/>
          <w:right w:w="108" w:type="dxa"/>
        </w:tblCellMar>
      </w:tblPr>
      <w:tblGrid>
        <w:gridCol w:w="4697"/>
        <w:gridCol w:w="2650"/>
        <w:gridCol w:w="3598"/>
        <w:gridCol w:w="3044"/>
      </w:tblGrid>
      <w:tr>
        <w:tblPrEx>
          <w:tblCellMar>
            <w:top w:w="0" w:type="dxa"/>
            <w:left w:w="108" w:type="dxa"/>
            <w:bottom w:w="0" w:type="dxa"/>
            <w:right w:w="108" w:type="dxa"/>
          </w:tblCellMar>
        </w:tblPrEx>
        <w:trPr>
          <w:trHeight w:val="320" w:hRule="atLeast"/>
        </w:trPr>
        <w:tc>
          <w:tcPr>
            <w:tcW w:w="3912" w:type="pct"/>
            <w:gridSpan w:val="3"/>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部门（单位）：天津市东丽区人民政府无瑕街道办事处 </w:t>
            </w:r>
          </w:p>
        </w:tc>
        <w:tc>
          <w:tcPr>
            <w:tcW w:w="1087" w:type="pct"/>
            <w:tcBorders>
              <w:top w:val="nil"/>
              <w:left w:val="nil"/>
              <w:bottom w:val="nil"/>
              <w:right w:val="nil"/>
            </w:tcBorders>
            <w:shd w:val="clear" w:color="auto" w:fill="auto"/>
            <w:noWrap/>
            <w:vAlign w:val="bottom"/>
          </w:tcPr>
          <w:p>
            <w:pPr>
              <w:widowControl/>
              <w:jc w:val="right"/>
              <w:textAlignment w:val="bottom"/>
              <w:rPr>
                <w:rFonts w:asciiTheme="minorEastAsia" w:hAnsiTheme="minorEastAsia" w:cstheme="minorEastAsia"/>
                <w:color w:val="000000"/>
                <w:sz w:val="22"/>
                <w:szCs w:val="22"/>
              </w:rPr>
            </w:pPr>
            <w:r>
              <w:rPr>
                <w:rStyle w:val="27"/>
                <w:rFonts w:asciiTheme="minorEastAsia" w:hAnsiTheme="minorEastAsia" w:eastAsiaTheme="minorEastAsia" w:cstheme="minorEastAsia"/>
                <w:sz w:val="22"/>
                <w:szCs w:val="22"/>
              </w:rPr>
              <w:t>单位：元</w:t>
            </w:r>
          </w:p>
        </w:tc>
      </w:tr>
      <w:tr>
        <w:tblPrEx>
          <w:tblCellMar>
            <w:top w:w="0" w:type="dxa"/>
            <w:left w:w="108" w:type="dxa"/>
            <w:bottom w:w="0" w:type="dxa"/>
            <w:right w:w="108" w:type="dxa"/>
          </w:tblCellMar>
        </w:tblPrEx>
        <w:trPr>
          <w:trHeight w:val="308" w:hRule="atLeast"/>
        </w:trPr>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收入</w:t>
            </w:r>
          </w:p>
        </w:tc>
        <w:tc>
          <w:tcPr>
            <w:tcW w:w="947" w:type="pct"/>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1285" w:type="pc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支出</w:t>
            </w:r>
          </w:p>
        </w:tc>
        <w:tc>
          <w:tcPr>
            <w:tcW w:w="1087" w:type="pct"/>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    目</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金额</w:t>
            </w:r>
          </w:p>
        </w:tc>
        <w:tc>
          <w:tcPr>
            <w:tcW w:w="128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    目</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金额</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一、一般公共预算财政拨款收入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74,414,894.19</w:t>
            </w: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一、一般公共服务支出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23,221,751.68</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二、政府性基金预算财政拨款收入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36,866,000.00</w:t>
            </w: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二、公共安全支出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三、国有资本经营预算财政拨款收入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三、教育支出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四、财政专户管理资金</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四、科学技术支出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五、事业收入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五、文化旅游体育与传媒支出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六、事业单位经营收入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六、社会保障和就业支出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27,298,966.88</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七、上级补助收入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七、卫生健康支出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1,614,141.41</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八、附属单位上缴收入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八、节能环保支出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九、其他收入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九、城乡社区支出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12,068,988.66</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十、农林水支出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3,120,542.56</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十一、交通运输支出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十二、资源勘探工业信息等支出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十三、商业服务业等支出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十四、金融支出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十五、援助其他地区支出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十六、自然资源海洋气象等支出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十七、住房保障支出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十八、粮油物资储备支出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十九、国有资本经营预算支出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二十、灾害防治及应急管理支出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二十一、其他支出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二十二、债务付息支出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二十三、抗疫特别国债安排的支出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本年收入合计</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111,280,894.19</w:t>
            </w:r>
          </w:p>
        </w:tc>
        <w:tc>
          <w:tcPr>
            <w:tcW w:w="128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本年支出合计</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111,280,894.19</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十、使用非财政拨款结余</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二十四、结余分配</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十一、年初结转和结余</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二十五、年末结转和结余</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其中：财政拨款结转和结余</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1087"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其他结转和结余</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1087"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收入总计</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111,280,894.19</w:t>
            </w:r>
          </w:p>
        </w:tc>
        <w:tc>
          <w:tcPr>
            <w:tcW w:w="128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支出总计</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111,280,894.19</w:t>
            </w:r>
          </w:p>
        </w:tc>
      </w:tr>
      <w:tr>
        <w:tblPrEx>
          <w:tblCellMar>
            <w:top w:w="0" w:type="dxa"/>
            <w:left w:w="108" w:type="dxa"/>
            <w:bottom w:w="0" w:type="dxa"/>
            <w:right w:w="108" w:type="dxa"/>
          </w:tblCellMar>
        </w:tblPrEx>
        <w:trPr>
          <w:trHeight w:val="308" w:hRule="atLeast"/>
        </w:trPr>
        <w:tc>
          <w:tcPr>
            <w:tcW w:w="5000" w:type="pct"/>
            <w:gridSpan w:val="4"/>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注：本表反映本年度的总收支和年末结转结余情况。财政专户管理资金是指教育收费；事业收入不含教育收费。</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 xml:space="preserve">二、收入决算表(按功能分类列示) </w:t>
      </w:r>
    </w:p>
    <w:tbl>
      <w:tblPr>
        <w:tblStyle w:val="11"/>
        <w:tblW w:w="5000" w:type="pct"/>
        <w:tblInd w:w="0" w:type="dxa"/>
        <w:tblLayout w:type="fixed"/>
        <w:tblCellMar>
          <w:top w:w="0" w:type="dxa"/>
          <w:left w:w="108" w:type="dxa"/>
          <w:bottom w:w="0" w:type="dxa"/>
          <w:right w:w="108" w:type="dxa"/>
        </w:tblCellMar>
      </w:tblPr>
      <w:tblGrid>
        <w:gridCol w:w="1403"/>
        <w:gridCol w:w="3031"/>
        <w:gridCol w:w="1259"/>
        <w:gridCol w:w="1136"/>
        <w:gridCol w:w="1228"/>
        <w:gridCol w:w="1105"/>
        <w:gridCol w:w="1187"/>
        <w:gridCol w:w="1153"/>
        <w:gridCol w:w="1256"/>
        <w:gridCol w:w="1234"/>
      </w:tblGrid>
      <w:tr>
        <w:tblPrEx>
          <w:tblCellMar>
            <w:top w:w="0" w:type="dxa"/>
            <w:left w:w="108" w:type="dxa"/>
            <w:bottom w:w="0" w:type="dxa"/>
            <w:right w:w="108" w:type="dxa"/>
          </w:tblCellMar>
        </w:tblPrEx>
        <w:trPr>
          <w:trHeight w:val="320" w:hRule="atLeast"/>
        </w:trPr>
        <w:tc>
          <w:tcPr>
            <w:tcW w:w="4559" w:type="pct"/>
            <w:gridSpan w:val="9"/>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部门（单位）：天津市东丽区人民政府无瑕街道办事处 </w:t>
            </w:r>
          </w:p>
        </w:tc>
        <w:tc>
          <w:tcPr>
            <w:tcW w:w="440" w:type="pct"/>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单位：元</w:t>
            </w:r>
          </w:p>
        </w:tc>
      </w:tr>
      <w:tr>
        <w:tblPrEx>
          <w:tblCellMar>
            <w:top w:w="0" w:type="dxa"/>
            <w:left w:w="108" w:type="dxa"/>
            <w:bottom w:w="0" w:type="dxa"/>
            <w:right w:w="108" w:type="dxa"/>
          </w:tblCellMar>
        </w:tblPrEx>
        <w:trPr>
          <w:trHeight w:val="30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项      目</w:t>
            </w:r>
          </w:p>
        </w:tc>
        <w:tc>
          <w:tcPr>
            <w:tcW w:w="450"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本年收入合计</w:t>
            </w:r>
          </w:p>
        </w:tc>
        <w:tc>
          <w:tcPr>
            <w:tcW w:w="406"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财政拨款收入</w:t>
            </w:r>
          </w:p>
        </w:tc>
        <w:tc>
          <w:tcPr>
            <w:tcW w:w="439"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上级补助收入</w:t>
            </w:r>
          </w:p>
        </w:tc>
        <w:tc>
          <w:tcPr>
            <w:tcW w:w="819" w:type="pct"/>
            <w:gridSpan w:val="2"/>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事业收入</w:t>
            </w:r>
          </w:p>
        </w:tc>
        <w:tc>
          <w:tcPr>
            <w:tcW w:w="412"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经营收入</w:t>
            </w:r>
          </w:p>
        </w:tc>
        <w:tc>
          <w:tcPr>
            <w:tcW w:w="445"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附属单位上缴收入</w:t>
            </w:r>
          </w:p>
        </w:tc>
        <w:tc>
          <w:tcPr>
            <w:tcW w:w="440"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其他收入</w:t>
            </w:r>
          </w:p>
        </w:tc>
      </w:tr>
      <w:tr>
        <w:tblPrEx>
          <w:tblCellMar>
            <w:top w:w="0" w:type="dxa"/>
            <w:left w:w="108" w:type="dxa"/>
            <w:bottom w:w="0" w:type="dxa"/>
            <w:right w:w="108" w:type="dxa"/>
          </w:tblCellMar>
        </w:tblPrEx>
        <w:trPr>
          <w:trHeight w:val="308" w:hRule="atLeast"/>
        </w:trPr>
        <w:tc>
          <w:tcPr>
            <w:tcW w:w="501"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科目编码</w:t>
            </w:r>
          </w:p>
        </w:tc>
        <w:tc>
          <w:tcPr>
            <w:tcW w:w="1083"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科目名称</w:t>
            </w:r>
          </w:p>
        </w:tc>
        <w:tc>
          <w:tcPr>
            <w:tcW w:w="450"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15"/>
                <w:szCs w:val="15"/>
              </w:rPr>
            </w:pPr>
          </w:p>
        </w:tc>
        <w:tc>
          <w:tcPr>
            <w:tcW w:w="406"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15"/>
                <w:szCs w:val="15"/>
              </w:rPr>
            </w:pPr>
          </w:p>
        </w:tc>
        <w:tc>
          <w:tcPr>
            <w:tcW w:w="439"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15"/>
                <w:szCs w:val="15"/>
              </w:rPr>
            </w:pPr>
          </w:p>
        </w:tc>
        <w:tc>
          <w:tcPr>
            <w:tcW w:w="3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小计</w:t>
            </w:r>
          </w:p>
        </w:tc>
        <w:tc>
          <w:tcPr>
            <w:tcW w:w="423"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其中：教育收费</w:t>
            </w:r>
          </w:p>
        </w:tc>
        <w:tc>
          <w:tcPr>
            <w:tcW w:w="412"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15"/>
                <w:szCs w:val="15"/>
              </w:rPr>
            </w:pPr>
          </w:p>
        </w:tc>
        <w:tc>
          <w:tcPr>
            <w:tcW w:w="445"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15"/>
                <w:szCs w:val="15"/>
              </w:rPr>
            </w:pPr>
          </w:p>
        </w:tc>
        <w:tc>
          <w:tcPr>
            <w:tcW w:w="440"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880" w:hRule="atLeast"/>
        </w:trPr>
        <w:tc>
          <w:tcPr>
            <w:tcW w:w="1584" w:type="pct"/>
            <w:gridSpan w:val="2"/>
            <w:tcBorders>
              <w:top w:val="nil"/>
              <w:left w:val="single" w:color="000000" w:sz="4" w:space="0"/>
              <w:bottom w:val="nil"/>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合计</w:t>
            </w:r>
          </w:p>
        </w:tc>
        <w:tc>
          <w:tcPr>
            <w:tcW w:w="450"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111,280,894.19</w:t>
            </w:r>
          </w:p>
        </w:tc>
        <w:tc>
          <w:tcPr>
            <w:tcW w:w="406"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111,280,894.19</w:t>
            </w:r>
          </w:p>
        </w:tc>
        <w:tc>
          <w:tcPr>
            <w:tcW w:w="439"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一般公共服务支出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23,221,751.68</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23,221,751.68</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20101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人大事务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12,500.00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12,500.00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2010199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其他人大事务支出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12,500.00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12,500.00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20103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政府办公厅（室）及相关机构事务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11,075,051.29</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11,075,051.29</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2010301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行政运行</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11,075,051.29</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11,075,051.29</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20106</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财政事务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1,360,843.82</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1,360,843.82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2010699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其他财政事务支出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1,360,843.82</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1,360,843.82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20113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商贸事务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1,418,391.86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1,418,391.86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2011399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其他商贸事务支出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1,418,391.86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1,418,391.86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20136</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其他共产党事务支出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8,958,964.71</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8,958,964.71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2013699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其他共产党事务支出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8,958,964.71</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8,958,964.71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20199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其他一般公共服务支出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396,000.00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396,000.00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2019999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其他一般公共服务支出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396,000.00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396,000.00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207</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文化旅游体育与传媒支出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259,360.00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259,360.00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20799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其他文化旅游体育与传媒支出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259,360.00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259,360.00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2079999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其他文化旅游体育与传媒支出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259,360.00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259,360.00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社会保障和就业支出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27,298,966.88</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27,298,966.88</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人力资源和社会保障管理事务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4,339,829.76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4,339,829.76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2080103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机关服务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4,339,829.76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4,339,829.76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民政管理事务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474,321.25</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474,321.25</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2080208</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基层政权建设和社区治理</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474,321.25</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474,321.25</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20805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行政事业单位养老支出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2,962,452.72</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2,962,452.72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2080505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机关事业单位基本养老保险缴费支出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1,978,099.48</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1,978,099.48</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2080506</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机关事业单位职业年金缴费支出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984,353.24</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984,353.24</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20809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退役安置</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1,488,773.15</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1,488,773.15</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2080999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其他退役安置支出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1,488,773.15</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1,488,773.15</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20820</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临时救助</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33,590.00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33,590.00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2082001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临时救助支出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33,590.00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33,590.00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其他社会保障和就业支出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18,000,000.00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18,000,000.00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2089999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其他社会保障和就业支出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18,000,000.00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18,000,000.00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210</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卫生健康支出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1,614,141.41</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1,614,141.41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21007</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计划生育事务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180,800.00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180,800.00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2100799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其他计划生育事务支出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180,800.00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180,800.00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21011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行政事业单位医疗</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1,433,341.41</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1,433,341.41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2101101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行政单位医疗</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611,208.35</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611,208.35</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2101102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事业单位医疗</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699,568.26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699,568.26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2101103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公务员医疗补助</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122,564.80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122,564.80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节能环保支出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17,166,000.00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17,166,000.00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21198</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超长期特别国债安排的支出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17,166,000.00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17,166,000.00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2119802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应对气候变化</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7,656,000.00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7,656,000.00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2119899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其他节能环保支出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9,510,000.00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9,510,000.00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城乡社区支出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12,068,988.66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12,068,988.66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21201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城乡社区管理事务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4,291,110.56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4,291,110.56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2120104</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城管执法</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1,974,206.87</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1,974,206.87</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2120199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其他城乡社区管理事务支出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2,316,903.69</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2,316,903.69</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21203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城乡社区公共设施</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167,878.10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167,878.10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2120399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其他城乡社区公共设施支出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167,878.10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167,878.10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21205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城乡社区环境卫生</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7,610,000.00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7,610,000.00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2120501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城乡社区环境卫生</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7,610,000.00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7,610,000.00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农林水支出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3,120,542.56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3,120,542.56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21301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农业农村</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1,200,000.00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1,200,000.00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2130126</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农村社会事业</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1,200,000.00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1,200,000.00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21305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巩固拓展脱贫攻坚成果衔接乡村振兴</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524,889.56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524,889.56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2130599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其他巩固拓展脱贫攻坚成果衔接乡村振兴支出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524,889.56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524,889.56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21307</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农村综合改革</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1,395,653.00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1,395,653.00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2130705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对村民委员会和村党支部的补助</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970,553.00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970,553.00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2130799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其他农村综合改革支出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425,100.00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425,100.00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资源勘探工业信息等支出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8,700,000.00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8,700,000.00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21598</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超长期特别国债安排的支出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8,700,000.00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8,700,000.00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2159802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制造业</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8,700,000.00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8,700,000.00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援助其他地区支出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240,000.00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240,000.00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21901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一般公共服务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240,000.00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240,000.00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2190100</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一般公共服务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240,000.00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240,000.00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住房保障支出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6,591,143.00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6,591,143.00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22102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住房改革支出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6,591,143.00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6,591,143.00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2210201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住房公积金</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6,591,143.00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6,591,143.00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11,000,000.00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11,000,000.00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22904</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其他政府性基金及对应专项债务收入安排的支出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11,000,000.00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11,000,000.00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2290403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其他政府性基金债务收入安排的支出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11,000,000.00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11,000,000.00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注：本表反映本年度取得的各项收入情况。</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三、收入决算表(按单位列示)</w:t>
      </w:r>
    </w:p>
    <w:tbl>
      <w:tblPr>
        <w:tblStyle w:val="11"/>
        <w:tblW w:w="5000" w:type="pct"/>
        <w:tblInd w:w="0" w:type="dxa"/>
        <w:tblLayout w:type="fixed"/>
        <w:tblCellMar>
          <w:top w:w="0" w:type="dxa"/>
          <w:left w:w="108" w:type="dxa"/>
          <w:bottom w:w="0" w:type="dxa"/>
          <w:right w:w="108" w:type="dxa"/>
        </w:tblCellMar>
      </w:tblPr>
      <w:tblGrid>
        <w:gridCol w:w="515"/>
        <w:gridCol w:w="854"/>
        <w:gridCol w:w="571"/>
        <w:gridCol w:w="627"/>
        <w:gridCol w:w="627"/>
        <w:gridCol w:w="599"/>
        <w:gridCol w:w="638"/>
        <w:gridCol w:w="663"/>
        <w:gridCol w:w="660"/>
        <w:gridCol w:w="669"/>
        <w:gridCol w:w="722"/>
        <w:gridCol w:w="722"/>
        <w:gridCol w:w="663"/>
        <w:gridCol w:w="708"/>
        <w:gridCol w:w="660"/>
        <w:gridCol w:w="753"/>
        <w:gridCol w:w="739"/>
        <w:gridCol w:w="708"/>
        <w:gridCol w:w="630"/>
        <w:gridCol w:w="618"/>
        <w:gridCol w:w="646"/>
      </w:tblGrid>
      <w:tr>
        <w:tblPrEx>
          <w:tblCellMar>
            <w:top w:w="0" w:type="dxa"/>
            <w:left w:w="108" w:type="dxa"/>
            <w:bottom w:w="0" w:type="dxa"/>
            <w:right w:w="108" w:type="dxa"/>
          </w:tblCellMar>
        </w:tblPrEx>
        <w:trPr>
          <w:trHeight w:val="320" w:hRule="atLeast"/>
        </w:trPr>
        <w:tc>
          <w:tcPr>
            <w:tcW w:w="2056" w:type="pct"/>
            <w:gridSpan w:val="9"/>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18"/>
                <w:szCs w:val="18"/>
              </w:rPr>
            </w:pPr>
            <w:r>
              <w:rPr>
                <w:rFonts w:hint="eastAsia" w:asciiTheme="minorEastAsia" w:hAnsiTheme="minorEastAsia" w:cstheme="minorEastAsia"/>
                <w:color w:val="000000"/>
                <w:sz w:val="18"/>
                <w:szCs w:val="18"/>
              </w:rPr>
              <w:t xml:space="preserve">部门（单位）：天津市东丽区人民政府无瑕街道办事处 </w:t>
            </w:r>
          </w:p>
        </w:tc>
        <w:tc>
          <w:tcPr>
            <w:tcW w:w="239"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58"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58"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36"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53"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36"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69"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64"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53"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25"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449" w:type="pct"/>
            <w:gridSpan w:val="2"/>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18"/>
                <w:szCs w:val="18"/>
              </w:rPr>
            </w:pPr>
            <w:r>
              <w:rPr>
                <w:rFonts w:hint="eastAsia" w:asciiTheme="minorEastAsia" w:hAnsiTheme="minorEastAsia" w:cstheme="minorEastAsia"/>
                <w:color w:val="000000"/>
                <w:sz w:val="18"/>
                <w:szCs w:val="18"/>
              </w:rPr>
              <w:t>单位：元</w:t>
            </w:r>
          </w:p>
        </w:tc>
      </w:tr>
      <w:tr>
        <w:tblPrEx>
          <w:tblCellMar>
            <w:top w:w="0" w:type="dxa"/>
            <w:left w:w="108" w:type="dxa"/>
            <w:bottom w:w="0" w:type="dxa"/>
            <w:right w:w="108" w:type="dxa"/>
          </w:tblCellMar>
        </w:tblPrEx>
        <w:trPr>
          <w:trHeight w:val="308" w:hRule="atLeast"/>
        </w:trPr>
        <w:tc>
          <w:tcPr>
            <w:tcW w:w="1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部门（单位）代码</w:t>
            </w:r>
          </w:p>
        </w:tc>
        <w:tc>
          <w:tcPr>
            <w:tcW w:w="304" w:type="pct"/>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部门（单位）名称</w:t>
            </w:r>
          </w:p>
        </w:tc>
        <w:tc>
          <w:tcPr>
            <w:tcW w:w="204" w:type="pct"/>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合计</w:t>
            </w:r>
          </w:p>
        </w:tc>
        <w:tc>
          <w:tcPr>
            <w:tcW w:w="2355" w:type="pct"/>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本年收入</w:t>
            </w:r>
          </w:p>
        </w:tc>
        <w:tc>
          <w:tcPr>
            <w:tcW w:w="1950" w:type="pct"/>
            <w:gridSpan w:val="8"/>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上年结转和结余</w:t>
            </w:r>
          </w:p>
        </w:tc>
      </w:tr>
      <w:tr>
        <w:tblPrEx>
          <w:tblCellMar>
            <w:top w:w="0" w:type="dxa"/>
            <w:left w:w="108" w:type="dxa"/>
            <w:bottom w:w="0" w:type="dxa"/>
            <w:right w:w="108" w:type="dxa"/>
          </w:tblCellMar>
        </w:tblPrEx>
        <w:trPr>
          <w:trHeight w:val="308" w:hRule="atLeast"/>
        </w:trPr>
        <w:tc>
          <w:tcPr>
            <w:tcW w:w="1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304"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04"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24"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小计</w:t>
            </w:r>
          </w:p>
        </w:tc>
        <w:tc>
          <w:tcPr>
            <w:tcW w:w="224"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一般公共预算</w:t>
            </w:r>
          </w:p>
        </w:tc>
        <w:tc>
          <w:tcPr>
            <w:tcW w:w="214"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政府性基金预算</w:t>
            </w:r>
          </w:p>
        </w:tc>
        <w:tc>
          <w:tcPr>
            <w:tcW w:w="228"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国有资本经营预算算</w:t>
            </w:r>
          </w:p>
        </w:tc>
        <w:tc>
          <w:tcPr>
            <w:tcW w:w="237"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财政专户管理资金</w:t>
            </w:r>
          </w:p>
        </w:tc>
        <w:tc>
          <w:tcPr>
            <w:tcW w:w="233"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事业收入</w:t>
            </w:r>
          </w:p>
        </w:tc>
        <w:tc>
          <w:tcPr>
            <w:tcW w:w="239"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事业单位经营收入</w:t>
            </w:r>
          </w:p>
        </w:tc>
        <w:tc>
          <w:tcPr>
            <w:tcW w:w="258"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上级补助收入</w:t>
            </w:r>
          </w:p>
        </w:tc>
        <w:tc>
          <w:tcPr>
            <w:tcW w:w="258"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附属单位上缴收入</w:t>
            </w:r>
          </w:p>
        </w:tc>
        <w:tc>
          <w:tcPr>
            <w:tcW w:w="236"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其他收入</w:t>
            </w:r>
          </w:p>
        </w:tc>
        <w:tc>
          <w:tcPr>
            <w:tcW w:w="253"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小计</w:t>
            </w:r>
          </w:p>
        </w:tc>
        <w:tc>
          <w:tcPr>
            <w:tcW w:w="1022" w:type="pct"/>
            <w:gridSpan w:val="4"/>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财政拨款结转结余</w:t>
            </w:r>
          </w:p>
        </w:tc>
        <w:tc>
          <w:tcPr>
            <w:tcW w:w="674" w:type="pct"/>
            <w:gridSpan w:val="3"/>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非财政拨款结转结余</w:t>
            </w:r>
          </w:p>
        </w:tc>
      </w:tr>
      <w:tr>
        <w:tblPrEx>
          <w:tblCellMar>
            <w:top w:w="0" w:type="dxa"/>
            <w:left w:w="108" w:type="dxa"/>
            <w:bottom w:w="0" w:type="dxa"/>
            <w:right w:w="108" w:type="dxa"/>
          </w:tblCellMar>
        </w:tblPrEx>
        <w:trPr>
          <w:trHeight w:val="780" w:hRule="atLeast"/>
        </w:trPr>
        <w:tc>
          <w:tcPr>
            <w:tcW w:w="1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304"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04"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24"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24"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14"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28"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37"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33"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39"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58"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58"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36"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53"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36" w:type="pc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小计</w:t>
            </w:r>
          </w:p>
        </w:tc>
        <w:tc>
          <w:tcPr>
            <w:tcW w:w="269" w:type="pc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一般公共预算</w:t>
            </w:r>
          </w:p>
        </w:tc>
        <w:tc>
          <w:tcPr>
            <w:tcW w:w="264" w:type="pc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政府性基金预算</w:t>
            </w:r>
          </w:p>
        </w:tc>
        <w:tc>
          <w:tcPr>
            <w:tcW w:w="253" w:type="pc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国有资本经营预算</w:t>
            </w:r>
          </w:p>
        </w:tc>
        <w:tc>
          <w:tcPr>
            <w:tcW w:w="225" w:type="pc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小计</w:t>
            </w:r>
          </w:p>
        </w:tc>
        <w:tc>
          <w:tcPr>
            <w:tcW w:w="221" w:type="pc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财政专户管理资金</w:t>
            </w:r>
          </w:p>
        </w:tc>
        <w:tc>
          <w:tcPr>
            <w:tcW w:w="228" w:type="pc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单位资金</w:t>
            </w:r>
          </w:p>
        </w:tc>
      </w:tr>
      <w:tr>
        <w:tblPrEx>
          <w:tblCellMar>
            <w:top w:w="0" w:type="dxa"/>
            <w:left w:w="108" w:type="dxa"/>
            <w:bottom w:w="0" w:type="dxa"/>
            <w:right w:w="108" w:type="dxa"/>
          </w:tblCellMar>
        </w:tblPrEx>
        <w:trPr>
          <w:trHeight w:val="480" w:hRule="atLeast"/>
        </w:trPr>
        <w:tc>
          <w:tcPr>
            <w:tcW w:w="489"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合计</w:t>
            </w:r>
          </w:p>
        </w:tc>
        <w:tc>
          <w:tcPr>
            <w:tcW w:w="57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111,280,894.19</w:t>
            </w:r>
          </w:p>
        </w:tc>
        <w:tc>
          <w:tcPr>
            <w:tcW w:w="62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111,280,894.19</w:t>
            </w:r>
          </w:p>
        </w:tc>
        <w:tc>
          <w:tcPr>
            <w:tcW w:w="62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74,414,894.19</w:t>
            </w:r>
          </w:p>
        </w:tc>
        <w:tc>
          <w:tcPr>
            <w:tcW w:w="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36,866,000.00</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c>
          <w:tcPr>
            <w:tcW w:w="66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c>
          <w:tcPr>
            <w:tcW w:w="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c>
          <w:tcPr>
            <w:tcW w:w="67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c>
          <w:tcPr>
            <w:tcW w:w="72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c>
          <w:tcPr>
            <w:tcW w:w="72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c>
          <w:tcPr>
            <w:tcW w:w="66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c>
          <w:tcPr>
            <w:tcW w:w="70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c>
          <w:tcPr>
            <w:tcW w:w="66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c>
          <w:tcPr>
            <w:tcW w:w="75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c>
          <w:tcPr>
            <w:tcW w:w="73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c>
          <w:tcPr>
            <w:tcW w:w="70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c>
          <w:tcPr>
            <w:tcW w:w="6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c>
          <w:tcPr>
            <w:tcW w:w="22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3"/>
                <w:szCs w:val="13"/>
              </w:rPr>
            </w:pPr>
          </w:p>
        </w:tc>
      </w:tr>
      <w:tr>
        <w:tblPrEx>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809101</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天津市东丽区人民政府无瑕街道办事处（本级）</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86,398,181.32</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86,398,181.32</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49,532,181.32</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36,866,000.00</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r>
      <w:tr>
        <w:tblPrEx>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809201</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天津市东丽区无瑕街党群服务中心</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10,315,872.30</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10,315,872.30</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10,315,872.30</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r>
      <w:tr>
        <w:tblPrEx>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809202</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天津市东丽区无瑕街综合治理中心</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3,727,317.03</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3,727,317.03</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3,727,317.03</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r>
      <w:tr>
        <w:tblPrEx>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809203</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天津市东丽区无瑕街经济发展中心</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2,256,936.24</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2,256,936.24</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2,256,936.24</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r>
      <w:tr>
        <w:tblPrEx>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809204</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天津市东丽区无瑕街财务中心</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2,147,720.74</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2,147,720.74</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2,147,720.74</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r>
      <w:tr>
        <w:tblPrEx>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809205</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天津市东丽区无瑕街退役军人服务站</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2,340,734.92</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2,340,734.92</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2,340,734.92</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r>
      <w:tr>
        <w:tblPrEx>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809206</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天津市东丽区无瑕街乡村振兴服务中心</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881,354.94</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881,354.94</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881,354.94</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r>
      <w:tr>
        <w:tblPrEx>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809301</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天津市东丽区无瑕街综合执法大队</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3,212,776.70</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3,212,776.70</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3,212,776.70</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3"/>
                <w:szCs w:val="13"/>
              </w:rPr>
            </w:pPr>
          </w:p>
        </w:tc>
      </w:tr>
      <w:tr>
        <w:tblPrEx>
          <w:tblCellMar>
            <w:top w:w="0" w:type="dxa"/>
            <w:left w:w="108" w:type="dxa"/>
            <w:bottom w:w="0" w:type="dxa"/>
            <w:right w:w="108" w:type="dxa"/>
          </w:tblCellMar>
        </w:tblPrEx>
        <w:trPr>
          <w:trHeight w:val="308" w:hRule="atLeast"/>
        </w:trPr>
        <w:tc>
          <w:tcPr>
            <w:tcW w:w="5000" w:type="pct"/>
            <w:gridSpan w:val="21"/>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sz w:val="18"/>
                <w:szCs w:val="18"/>
              </w:rPr>
              <w:t>注：本表反映本年度取得的各项收入情况。财政专户管理资金是指教育收费；事业收入不含教育收费。</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 xml:space="preserve">四、支出决算表 </w:t>
      </w:r>
    </w:p>
    <w:tbl>
      <w:tblPr>
        <w:tblStyle w:val="11"/>
        <w:tblW w:w="4999" w:type="pct"/>
        <w:tblInd w:w="0" w:type="dxa"/>
        <w:tblLayout w:type="fixed"/>
        <w:tblCellMar>
          <w:top w:w="0" w:type="dxa"/>
          <w:left w:w="108" w:type="dxa"/>
          <w:bottom w:w="0" w:type="dxa"/>
          <w:right w:w="108" w:type="dxa"/>
        </w:tblCellMar>
      </w:tblPr>
      <w:tblGrid>
        <w:gridCol w:w="1292"/>
        <w:gridCol w:w="2219"/>
        <w:gridCol w:w="1844"/>
        <w:gridCol w:w="1799"/>
        <w:gridCol w:w="1799"/>
        <w:gridCol w:w="1813"/>
        <w:gridCol w:w="1634"/>
        <w:gridCol w:w="1589"/>
      </w:tblGrid>
      <w:tr>
        <w:tblPrEx>
          <w:tblCellMar>
            <w:top w:w="0" w:type="dxa"/>
            <w:left w:w="108" w:type="dxa"/>
            <w:bottom w:w="0" w:type="dxa"/>
            <w:right w:w="108" w:type="dxa"/>
          </w:tblCellMar>
        </w:tblPrEx>
        <w:trPr>
          <w:trHeight w:val="320" w:hRule="atLeast"/>
        </w:trPr>
        <w:tc>
          <w:tcPr>
            <w:tcW w:w="4432" w:type="pct"/>
            <w:gridSpan w:val="7"/>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部门（单位）：天津市东丽区人民政府无瑕街道办事处 </w:t>
            </w:r>
          </w:p>
        </w:tc>
        <w:tc>
          <w:tcPr>
            <w:tcW w:w="567" w:type="pct"/>
            <w:tcBorders>
              <w:top w:val="nil"/>
              <w:left w:val="nil"/>
              <w:bottom w:val="nil"/>
              <w:right w:val="nil"/>
            </w:tcBorders>
            <w:shd w:val="clear" w:color="auto" w:fill="auto"/>
            <w:noWrap/>
            <w:vAlign w:val="bottom"/>
          </w:tcPr>
          <w:p>
            <w:pPr>
              <w:widowControl/>
              <w:jc w:val="righ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单位：元</w:t>
            </w:r>
          </w:p>
        </w:tc>
      </w:tr>
      <w:tr>
        <w:tblPrEx>
          <w:tblCellMar>
            <w:top w:w="0" w:type="dxa"/>
            <w:left w:w="108" w:type="dxa"/>
            <w:bottom w:w="0" w:type="dxa"/>
            <w:right w:w="108" w:type="dxa"/>
          </w:tblCellMar>
        </w:tblPrEx>
        <w:trPr>
          <w:trHeight w:val="308"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支出功能分类科目</w:t>
            </w:r>
          </w:p>
        </w:tc>
        <w:tc>
          <w:tcPr>
            <w:tcW w:w="659"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本年支出合计</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基本支出</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项目支出</w:t>
            </w:r>
          </w:p>
        </w:tc>
        <w:tc>
          <w:tcPr>
            <w:tcW w:w="648"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上缴上级支出</w:t>
            </w:r>
          </w:p>
        </w:tc>
        <w:tc>
          <w:tcPr>
            <w:tcW w:w="581"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经营支出</w:t>
            </w:r>
          </w:p>
        </w:tc>
        <w:tc>
          <w:tcPr>
            <w:tcW w:w="567"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对附属单位补助支出</w:t>
            </w:r>
          </w:p>
        </w:tc>
      </w:tr>
      <w:tr>
        <w:tblPrEx>
          <w:tblCellMar>
            <w:top w:w="0" w:type="dxa"/>
            <w:left w:w="108" w:type="dxa"/>
            <w:bottom w:w="0" w:type="dxa"/>
            <w:right w:w="108" w:type="dxa"/>
          </w:tblCellMar>
        </w:tblPrEx>
        <w:trPr>
          <w:trHeight w:val="308" w:hRule="atLeast"/>
        </w:trPr>
        <w:tc>
          <w:tcPr>
            <w:tcW w:w="462"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793"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659"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648"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581"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567"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700"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111,280,894.19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39,304,962.08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71,975,932.11</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一般公共服务支出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23,221,751.68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22,013,251.68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1,208,500.00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人大事务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12,500.00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12,500.00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2010199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其他人大事务支出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12,500.00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12,500.00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政府办公厅（室）及相关机构事务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11,075,051.29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10,275,051.29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2010301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行政运行</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11,075,051.29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10,275,051.29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20106</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财政事务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1,360,843.82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1,360,843.82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2010699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其他财政事务支出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1,360,843.82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1,360,843.82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20113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商贸事务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1,418,391.86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1,418,391.86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2011399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其他商贸事务支出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1,418,391.86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1,418,391.86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20136</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其他共产党事务支出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8,958,964.71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8,958,964.71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2013699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其他共产党事务支出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8,958,964.71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8,958,964.71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其他一般公共服务支出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396,000.00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396,000.00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2019999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其他一般公共服务支出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396,000.00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396,000.00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207</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文化旅游体育与传媒支出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20799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其他文化旅游体育与传媒支出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2079999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其他文化旅游体育与传媒支出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社会保障和就业支出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27,298,966.88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4,451,225.87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22,847,741.01</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人力资源和社会保障管理事务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4,339,829.76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4,339,829.76</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2080103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机关服务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4,339,829.76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4,339,829.76</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民政管理事务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474,321.25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474,321.25</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2080208</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基层政权建设和社区治理</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474,321.25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474,321.25</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行政事业单位养老支出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2,962,452.72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2,962,452.72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2080505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机关事业单位基本养老保险缴费支出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1,978,099.48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1,978,099.48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2080506</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机关事业单位职业年金缴费支出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984,353.24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984,353.24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退役安置</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1,488,773.15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1,488,773.15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2080999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其他退役安置支出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1,488,773.15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1,488,773.15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20820</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临时救助</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33,590.00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33,590.00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2082001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临时救助支出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33,590.00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33,590.00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其他社会保障和就业支出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2089999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其他社会保障和就业支出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卫生健康支出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1,614,141.41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1,433,341.41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21007</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计划生育事务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2100799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其他计划生育事务支出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21011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行政事业单位医疗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1,433,341.41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1,433,341.41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2101101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行政单位医疗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611,208.35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611,208.35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2101102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699,568.26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699,568.26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2101103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公务员医疗补助</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122,564.80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122,564.80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节能环保支出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21198</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超长期特别国债安排的支出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2119802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应对气候变化</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7,656,000.00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7,656,000.00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2119899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其他节能环保支出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9,510,000.00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9,510,000.00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城乡社区支出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12,068,988.66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4,291,110.56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7,777,878.10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城乡社区管理事务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4,291,110.56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4,291,110.56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2120104</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城管执法</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1,974,206.87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1,974,206.87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2120199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其他城乡社区管理事务支出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2,316,903.69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2,316,903.69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城乡社区公共设施</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167,878.10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167,878.10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2120399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其他城乡社区公共设施支出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167,878.10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167,878.10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城乡社区环境卫生</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7,610,000.00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7,610,000.00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2120501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城乡社区环境卫生</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7,610,000.00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7,610,000.00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农林水支出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3,120,542.56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2,595,653.00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农业农村</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2130126</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农村社会事业</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巩固拓展脱贫攻坚成果衔接乡村振兴</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2130599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其他巩固拓展脱贫攻坚成果衔接乡村振兴支出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21307</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农村综合改革</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1,395,653.00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1,395,653.00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2130705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对村民委员会和村党支部的补助</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970,553.00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970,553.00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2130799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其他农村综合改革支出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425,100.00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425,100.00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资源勘探工业信息等支出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21598</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超长期特别国债安排的支出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2159802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制造业</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援助其他地区支出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21901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一般公共服务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2190100</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一般公共服务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住房保障支出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22102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住房改革支出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2210201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住房公积金</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22904</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其他政府性基金及对应专项债务收入安排的支出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2290403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其他政府性基金债务收入安排的支出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注：本表反映本年度各项支出情况。</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五、财政拨款收入支出决算总表</w:t>
      </w:r>
    </w:p>
    <w:tbl>
      <w:tblPr>
        <w:tblStyle w:val="11"/>
        <w:tblW w:w="5000" w:type="pct"/>
        <w:tblInd w:w="0" w:type="dxa"/>
        <w:tblLayout w:type="fixed"/>
        <w:tblCellMar>
          <w:top w:w="0" w:type="dxa"/>
          <w:left w:w="108" w:type="dxa"/>
          <w:bottom w:w="0" w:type="dxa"/>
          <w:right w:w="108" w:type="dxa"/>
        </w:tblCellMar>
      </w:tblPr>
      <w:tblGrid>
        <w:gridCol w:w="2314"/>
        <w:gridCol w:w="1883"/>
        <w:gridCol w:w="2348"/>
        <w:gridCol w:w="1850"/>
        <w:gridCol w:w="1791"/>
        <w:gridCol w:w="1830"/>
        <w:gridCol w:w="1976"/>
      </w:tblGrid>
      <w:tr>
        <w:tblPrEx>
          <w:tblCellMar>
            <w:top w:w="0" w:type="dxa"/>
            <w:left w:w="108" w:type="dxa"/>
            <w:bottom w:w="0" w:type="dxa"/>
            <w:right w:w="108" w:type="dxa"/>
          </w:tblCellMar>
        </w:tblPrEx>
        <w:trPr>
          <w:trHeight w:val="320" w:hRule="atLeast"/>
        </w:trPr>
        <w:tc>
          <w:tcPr>
            <w:tcW w:w="4294" w:type="pct"/>
            <w:gridSpan w:val="6"/>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部门（单位）：天津市东丽区人民政府无瑕街道办事处 </w:t>
            </w:r>
          </w:p>
        </w:tc>
        <w:tc>
          <w:tcPr>
            <w:tcW w:w="705" w:type="pct"/>
            <w:tcBorders>
              <w:top w:val="nil"/>
              <w:left w:val="nil"/>
              <w:bottom w:val="nil"/>
              <w:right w:val="nil"/>
            </w:tcBorders>
            <w:shd w:val="clear" w:color="auto" w:fill="auto"/>
            <w:noWrap/>
            <w:vAlign w:val="bottom"/>
          </w:tcPr>
          <w:p>
            <w:pPr>
              <w:widowControl/>
              <w:jc w:val="righ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单位：元</w:t>
            </w:r>
          </w:p>
        </w:tc>
      </w:tr>
      <w:tr>
        <w:tblPrEx>
          <w:tblCellMar>
            <w:top w:w="0" w:type="dxa"/>
            <w:left w:w="108" w:type="dxa"/>
            <w:bottom w:w="0" w:type="dxa"/>
            <w:right w:w="108" w:type="dxa"/>
          </w:tblCellMar>
        </w:tblPrEx>
        <w:trPr>
          <w:trHeight w:val="308" w:hRule="atLeast"/>
        </w:trPr>
        <w:tc>
          <w:tcPr>
            <w:tcW w:w="15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收入</w:t>
            </w:r>
          </w:p>
        </w:tc>
        <w:tc>
          <w:tcPr>
            <w:tcW w:w="3499" w:type="pct"/>
            <w:gridSpan w:val="5"/>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支出</w:t>
            </w: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    目</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金额</w:t>
            </w:r>
          </w:p>
        </w:tc>
        <w:tc>
          <w:tcPr>
            <w:tcW w:w="839"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    目</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一般公共预算财政拨款</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政府性基金预算财政拨款</w:t>
            </w:r>
          </w:p>
        </w:tc>
        <w:tc>
          <w:tcPr>
            <w:tcW w:w="70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国有资本经营预算财政拨款</w:t>
            </w: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74,414,894.19</w:t>
            </w: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一、一般公共服务支出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23,221,751.68</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23,221,751.68</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36,866,000.00</w:t>
            </w: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二、公共安全支出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三、国有资本经营预算财政拨款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三、教育支出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四、科学技术支出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五、文化旅游体育与传媒支出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六、社会保障和就业支出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27,298,966.88</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27,298,966.88</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七、卫生健康支出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1,614,141.41</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1,614,141.41</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八、节能环保支出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九、城乡社区支出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12,068,988.66</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12,068,988.66</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十、农林水支出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3,120,542.56</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3,120,542.56</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十一、交通运输支出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十二、资源勘探工业信息等支出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十三、商业服务业等支出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十四、金融支出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十五、援助其他地区支出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十六、自然资源海洋气象等支出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十七、住房保障支出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十八、粮油物资储备支出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十九、国有资本经营预算支出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二十、灾害防治及应急管理支出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二十一、其他支出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二十二、债务付息支出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二十三、抗疫特别国债安排的支出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本年收入合计</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111,280,894.19</w:t>
            </w:r>
          </w:p>
        </w:tc>
        <w:tc>
          <w:tcPr>
            <w:tcW w:w="839"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本年支出合计</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111,280,894.19</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74,414,894.19</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36,866,000.00</w:t>
            </w: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年初财政拨款结转和结余</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年末财政拨款结转和结余</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1"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1"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1"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111,280,894.19</w:t>
            </w:r>
          </w:p>
        </w:tc>
        <w:tc>
          <w:tcPr>
            <w:tcW w:w="839"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111,280,894.19</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74,414,894.19</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36,866,000.00</w:t>
            </w: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462" w:hRule="atLeast"/>
        </w:trPr>
        <w:tc>
          <w:tcPr>
            <w:tcW w:w="5000" w:type="pct"/>
            <w:gridSpan w:val="7"/>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注：本表反映本年度一般公共预算财政拨款、政府性基金预算财政拨款和国有资本经营预算财政拨款的总收支和年末结转结余情况。</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 xml:space="preserve">六、一般公共预算财政拨款支出决算表 </w:t>
      </w:r>
    </w:p>
    <w:tbl>
      <w:tblPr>
        <w:tblStyle w:val="11"/>
        <w:tblW w:w="5000" w:type="pct"/>
        <w:tblInd w:w="0" w:type="dxa"/>
        <w:tblLayout w:type="fixed"/>
        <w:tblCellMar>
          <w:top w:w="0" w:type="dxa"/>
          <w:left w:w="108" w:type="dxa"/>
          <w:bottom w:w="0" w:type="dxa"/>
          <w:right w:w="108" w:type="dxa"/>
        </w:tblCellMar>
      </w:tblPr>
      <w:tblGrid>
        <w:gridCol w:w="1270"/>
        <w:gridCol w:w="4525"/>
        <w:gridCol w:w="1752"/>
        <w:gridCol w:w="1598"/>
        <w:gridCol w:w="1629"/>
        <w:gridCol w:w="1603"/>
        <w:gridCol w:w="1615"/>
      </w:tblGrid>
      <w:tr>
        <w:tblPrEx>
          <w:tblCellMar>
            <w:top w:w="0" w:type="dxa"/>
            <w:left w:w="108" w:type="dxa"/>
            <w:bottom w:w="0" w:type="dxa"/>
            <w:right w:w="108" w:type="dxa"/>
          </w:tblCellMar>
        </w:tblPrEx>
        <w:trPr>
          <w:trHeight w:val="320" w:hRule="atLeast"/>
        </w:trPr>
        <w:tc>
          <w:tcPr>
            <w:tcW w:w="4423" w:type="pct"/>
            <w:gridSpan w:val="6"/>
            <w:tcBorders>
              <w:top w:val="nil"/>
              <w:left w:val="nil"/>
              <w:bottom w:val="nil"/>
              <w:right w:val="nil"/>
            </w:tcBorders>
            <w:shd w:val="clear" w:color="auto" w:fill="auto"/>
            <w:noWrap/>
            <w:vAlign w:val="bottom"/>
          </w:tcPr>
          <w:p>
            <w:pPr>
              <w:widowControl/>
              <w:jc w:val="left"/>
              <w:textAlignment w:val="bottom"/>
              <w:rPr>
                <w:rFonts w:ascii="宋体-简" w:hAnsi="宋体-简" w:eastAsia="宋体-简" w:cs="宋体-简"/>
                <w:color w:val="000000"/>
                <w:sz w:val="20"/>
                <w:szCs w:val="20"/>
              </w:rPr>
            </w:pPr>
            <w:r>
              <w:rPr>
                <w:rFonts w:hint="eastAsia" w:ascii="宋体-简" w:hAnsi="宋体-简" w:eastAsia="宋体-简" w:cs="宋体-简"/>
                <w:color w:val="000000"/>
                <w:sz w:val="20"/>
                <w:szCs w:val="20"/>
              </w:rPr>
              <w:t>部门（单位）：</w:t>
            </w:r>
            <w:r>
              <w:rPr>
                <w:rFonts w:ascii="Arial" w:hAnsi="Arial" w:eastAsia="宋体-简" w:cs="Arial"/>
                <w:color w:val="000000"/>
                <w:sz w:val="20"/>
                <w:szCs w:val="20"/>
              </w:rPr>
              <w:t xml:space="preserve">天津市东丽区人民政府无瑕街道办事处 </w:t>
            </w:r>
          </w:p>
        </w:tc>
        <w:tc>
          <w:tcPr>
            <w:tcW w:w="576" w:type="pct"/>
            <w:tcBorders>
              <w:top w:val="nil"/>
              <w:left w:val="nil"/>
              <w:bottom w:val="nil"/>
              <w:right w:val="nil"/>
            </w:tcBorders>
            <w:shd w:val="clear" w:color="auto" w:fill="auto"/>
            <w:noWrap/>
            <w:vAlign w:val="bottom"/>
          </w:tcPr>
          <w:p>
            <w:pPr>
              <w:widowControl/>
              <w:jc w:val="right"/>
              <w:textAlignment w:val="bottom"/>
              <w:rPr>
                <w:rFonts w:ascii="宋体" w:hAnsi="宋体" w:eastAsia="宋体"/>
                <w:color w:val="000000"/>
                <w:sz w:val="20"/>
                <w:szCs w:val="20"/>
              </w:rPr>
            </w:pPr>
            <w:r>
              <w:rPr>
                <w:rFonts w:hint="eastAsia" w:ascii="宋体" w:hAnsi="宋体" w:eastAsia="宋体"/>
                <w:color w:val="000000"/>
                <w:sz w:val="20"/>
                <w:szCs w:val="20"/>
              </w:rPr>
              <w:t>单位：元</w:t>
            </w:r>
          </w:p>
        </w:tc>
      </w:tr>
      <w:tr>
        <w:tblPrEx>
          <w:tblCellMar>
            <w:top w:w="0" w:type="dxa"/>
            <w:left w:w="108" w:type="dxa"/>
            <w:bottom w:w="0" w:type="dxa"/>
            <w:right w:w="108" w:type="dxa"/>
          </w:tblCellMar>
        </w:tblPrEx>
        <w:trPr>
          <w:trHeight w:val="308" w:hRule="atLeast"/>
        </w:trPr>
        <w:tc>
          <w:tcPr>
            <w:tcW w:w="2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支出功能分类科目</w:t>
            </w:r>
          </w:p>
        </w:tc>
        <w:tc>
          <w:tcPr>
            <w:tcW w:w="626"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1725" w:type="pct"/>
            <w:gridSpan w:val="3"/>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基本支出  </w:t>
            </w:r>
          </w:p>
        </w:tc>
        <w:tc>
          <w:tcPr>
            <w:tcW w:w="576"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项目支出</w:t>
            </w:r>
          </w:p>
        </w:tc>
      </w:tr>
      <w:tr>
        <w:tblPrEx>
          <w:tblCellMar>
            <w:top w:w="0" w:type="dxa"/>
            <w:left w:w="108" w:type="dxa"/>
            <w:bottom w:w="0" w:type="dxa"/>
            <w:right w:w="108" w:type="dxa"/>
          </w:tblCellMar>
        </w:tblPrEx>
        <w:trPr>
          <w:trHeight w:val="308" w:hRule="atLeast"/>
        </w:trPr>
        <w:tc>
          <w:tcPr>
            <w:tcW w:w="454"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1616"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626"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571"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小计</w:t>
            </w:r>
          </w:p>
        </w:tc>
        <w:tc>
          <w:tcPr>
            <w:tcW w:w="582"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人员经费</w:t>
            </w:r>
          </w:p>
        </w:tc>
        <w:tc>
          <w:tcPr>
            <w:tcW w:w="571"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公用经费</w:t>
            </w:r>
          </w:p>
        </w:tc>
        <w:tc>
          <w:tcPr>
            <w:tcW w:w="576"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80" w:hRule="atLeast"/>
        </w:trPr>
        <w:tc>
          <w:tcPr>
            <w:tcW w:w="2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74,414,894.19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39,304,962.08</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36,157,981.74</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3,146,980.34</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35,109,932.11</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一般公共服务支出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23,221,751.68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22,013,251.68</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19,589,980.80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2,423,270.88</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1,208,500.00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人大事务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12,500.00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12,500.00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2010199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其他人大事务支出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12,500.00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12,500.00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20103</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政府办公厅（室）及相关机构事务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11,075,051.29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10,275,051.29</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8,699,599.95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1,575,451.34</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800,000.00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2010301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行政运行</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11,075,051.29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10,275,051.29</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8,699,599.95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1,575,451.34</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800,000.00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20106</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财政事务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1,360,843.82</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1,360,843.82</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1,091,857.35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268,986.47</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2010699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其他财政事务支出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1,360,843.82</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1,360,843.82</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1,091,857.35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268,986.47</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20113</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商贸事务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1,418,391.86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1,418,391.86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1,144,877.31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273,514.55</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2011399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其他商贸事务支出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1,418,391.86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1,418,391.86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1,144,877.31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273,514.55</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20136</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其他共产党事务支出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8,958,964.71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8,958,964.71</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8,653,646.19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305,318.52</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2013699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其他共产党事务支出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8,958,964.71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8,958,964.71</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8,653,646.19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305,318.52</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其他一般公共服务支出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396,000.00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396,000.00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2019999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其他一般公共服务支出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396,000.00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396,000.00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207</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文化旅游体育与传媒支出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20799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其他文化旅游体育与传媒支出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2079999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其他文化旅游体育与传媒支出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社会保障和就业支出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27,298,966.88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4,451,225.87</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4,315,635.33</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135,590.54</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22,847,741.01</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人力资源和社会保障管理事务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4,339,829.76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4,339,829.76</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2080103</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机关服务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4,339,829.76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4,339,829.76</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20802</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民政管理事务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474,321.25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474,321.25</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2080208</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基层政权建设和社区治理</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474,321.25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474,321.25</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行政事业单位养老支出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2,962,452.72</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2,962,452.72</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2,962,452.72</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2080505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机关事业单位基本养老保险缴费支出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1,978,099.48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1,978,099.48</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1,978,099.48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2080506</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机关事业单位职业年金缴费支出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984,353.24</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984,353.24</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984,353.24</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退役安置</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1,488,773.15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1,488,773.15</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1,353,182.61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135,590.54</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2080999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其他退役安置支出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1,488,773.15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1,488,773.15</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1,353,182.61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135,590.54</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20820</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临时救助</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33,590.00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33,590.00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2082001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临时救助支出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33,590.00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33,590.00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其他社会保障和就业支出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18,000,000.00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18,000,000.00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2089999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其他社会保障和就业支出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18,000,000.00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18,000,000.00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卫生健康支出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1,614,141.41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1,433,341.41</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1,433,341.41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21007</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计划生育事务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2100799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其他计划生育事务支出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21011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行政事业单位医疗</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1,433,341.41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1,433,341.41</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1,433,341.41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2101101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行政单位医疗</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611,208.35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611,208.35</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611,208.35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2101102</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事业单位医疗</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699,568.26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699,568.26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699,568.26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2101103</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公务员医疗补助</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122,564.80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122,564.80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122,564.80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城乡社区支出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12,068,988.66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4,291,110.56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3,702,991.64</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588,118.92</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7,777,878.10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城乡社区管理事务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4,291,110.56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4,291,110.56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3,702,991.64</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588,118.92</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2120104</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城管执法</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1,974,206.87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1,974,206.87</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1,676,213.97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297,992.90</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2120199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其他城乡社区管理事务支出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2,316,903.69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2,316,903.69</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2,026,777.67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290,126.02</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21203</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城乡社区公共设施</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167,878.10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167,878.10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2120399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其他城乡社区公共设施支出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167,878.10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167,878.10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城乡社区环境卫生</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7,610,000.00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7,610,000.00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2120501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城乡社区环境卫生</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7,610,000.00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7,610,000.00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农林水支出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3,120,542.56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2,595,653.00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农业农村</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1,200,000.00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2130126</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农村社会事业</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1,200,000.00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巩固拓展脱贫攻坚成果衔接乡村振兴</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2130599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其他巩固拓展脱贫攻坚成果衔接乡村振兴支出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21307</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农村综合改革</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1,395,653.00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1,395,653.00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2130705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对村民委员会和村党支部的补助</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970,553.00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970,553.00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2130799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其他农村综合改革支出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425,100.00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425,100.00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援助其他地区支出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21901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一般公共服务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2190100</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一般公共服务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住房保障支出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22102</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住房改革支出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2210201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住房公积金</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6,591,143.00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pPr>
              <w:widowControl/>
              <w:jc w:val="left"/>
              <w:textAlignment w:val="center"/>
              <w:rPr>
                <w:rFonts w:ascii="宋体" w:hAnsi="宋体" w:eastAsia="宋体"/>
                <w:color w:val="000000"/>
                <w:sz w:val="22"/>
                <w:szCs w:val="22"/>
              </w:rPr>
            </w:pPr>
            <w:r>
              <w:rPr>
                <w:rFonts w:hint="eastAsia" w:ascii="宋体" w:hAnsi="宋体" w:eastAsia="宋体"/>
                <w:color w:val="000000"/>
                <w:sz w:val="22"/>
                <w:szCs w:val="22"/>
              </w:rPr>
              <w:t>注：本表反映本年度一般公共预算财政拨款支出情况。</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 xml:space="preserve">七、一般公共预算财政拨款基本支出决算明细表 </w:t>
      </w:r>
    </w:p>
    <w:tbl>
      <w:tblPr>
        <w:tblStyle w:val="11"/>
        <w:tblW w:w="5000" w:type="pct"/>
        <w:tblInd w:w="0" w:type="dxa"/>
        <w:tblLayout w:type="fixed"/>
        <w:tblCellMar>
          <w:top w:w="0" w:type="dxa"/>
          <w:left w:w="108" w:type="dxa"/>
          <w:bottom w:w="0" w:type="dxa"/>
          <w:right w:w="108" w:type="dxa"/>
        </w:tblCellMar>
      </w:tblPr>
      <w:tblGrid>
        <w:gridCol w:w="927"/>
        <w:gridCol w:w="1870"/>
        <w:gridCol w:w="1883"/>
        <w:gridCol w:w="876"/>
        <w:gridCol w:w="1799"/>
        <w:gridCol w:w="1830"/>
        <w:gridCol w:w="1091"/>
        <w:gridCol w:w="1987"/>
        <w:gridCol w:w="1729"/>
      </w:tblGrid>
      <w:tr>
        <w:tblPrEx>
          <w:tblCellMar>
            <w:top w:w="0" w:type="dxa"/>
            <w:left w:w="108" w:type="dxa"/>
            <w:bottom w:w="0" w:type="dxa"/>
            <w:right w:w="108" w:type="dxa"/>
          </w:tblCellMar>
        </w:tblPrEx>
        <w:trPr>
          <w:trHeight w:val="320" w:hRule="atLeast"/>
        </w:trPr>
        <w:tc>
          <w:tcPr>
            <w:tcW w:w="4382" w:type="pct"/>
            <w:gridSpan w:val="8"/>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部门（单位）：天津市东丽区人民政府无瑕街道办事处 </w:t>
            </w:r>
          </w:p>
        </w:tc>
        <w:tc>
          <w:tcPr>
            <w:tcW w:w="617" w:type="pct"/>
            <w:tcBorders>
              <w:top w:val="nil"/>
              <w:left w:val="nil"/>
              <w:bottom w:val="nil"/>
              <w:right w:val="nil"/>
            </w:tcBorders>
            <w:shd w:val="clear" w:color="auto" w:fill="auto"/>
            <w:noWrap/>
            <w:vAlign w:val="bottom"/>
          </w:tcPr>
          <w:p>
            <w:pPr>
              <w:widowControl/>
              <w:jc w:val="righ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单位：元</w:t>
            </w:r>
          </w:p>
        </w:tc>
      </w:tr>
      <w:tr>
        <w:tblPrEx>
          <w:tblCellMar>
            <w:top w:w="0" w:type="dxa"/>
            <w:left w:w="108" w:type="dxa"/>
            <w:bottom w:w="0" w:type="dxa"/>
            <w:right w:w="108" w:type="dxa"/>
          </w:tblCellMar>
        </w:tblPrEx>
        <w:trPr>
          <w:trHeight w:val="308" w:hRule="atLeast"/>
        </w:trPr>
        <w:tc>
          <w:tcPr>
            <w:tcW w:w="167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人员经费</w:t>
            </w:r>
          </w:p>
        </w:tc>
        <w:tc>
          <w:tcPr>
            <w:tcW w:w="3327" w:type="pct"/>
            <w:gridSpan w:val="6"/>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公用经费</w:t>
            </w: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金额</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金额</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金额</w:t>
            </w: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工资福利支出</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35,774,959.14</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商品和服务支出</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3,146,980.34</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30703</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国内债务发行费用</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30101</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基本工资</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5,174,961.10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30201</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办公费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537,298.00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30704</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国外债务发行费用</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30102</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津贴补贴</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4,357,126.15</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30202</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印刷费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资本性支出</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30103</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奖金</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2,129,550.00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30203</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咨询费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31001</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房屋建筑物购建</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30106</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伙食补助费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30204</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手续费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1,008.00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31002</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办公设备购置</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30107</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绩效工资</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3,439,138.84</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30205</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水费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200,080.00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31003</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专用设备购置</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30108</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机关事业单位基本养老保险缴费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1,987,666.48</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30206</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电费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350,018.00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31005</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基础设施建设</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30109</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职业年金缴费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994,036.24</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30207</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邮电费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80,032.00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31006</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大型修缮</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30110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职工基本医疗保险缴费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1,242,449.61</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30208</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取暖费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150,000.00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31007</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信息网络及软件购置更新</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30111</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公务员医疗补助缴费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122,564.80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30209</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物业管理费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283,656.00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31008</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物资储备</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30112</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其他社会保障缴费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62,358.63</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30211</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差旅费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13,646.00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31009</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土地补偿</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30113</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住房公积金</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6,623,895.00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30212</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因公出国（境）费用</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31010</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安置补助</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30114</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医疗费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60,532.00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30213</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维修(护)费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31011</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地上附着物和青苗补偿</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30199</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其他工资福利支出</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9,580,680.29</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30214</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租赁费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31012</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拆迁补偿</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383,022.60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30215</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会议费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31013</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公务用车购置</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30301</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离休费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30216</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培训费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14,075.41</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31019</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其他交通工具购置</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30302</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退休费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223,319.60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30217</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公务接待费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31021</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文物和陈列品购置</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30303</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退职（役）费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30218</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专用材料费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31022</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无形资产购置</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30304</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抚恤金</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30224</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被装购置费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31099</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其他资本性支出</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30305</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生活补助</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30225</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专用燃料费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对企业补助</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30306</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救济费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30226</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劳务费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31201</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资本金注入</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30307</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医疗费补助</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13,088.00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30227</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委托业务费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52,730.00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31203</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政府投资基金股权投资</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30308</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助学金</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30228</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工会经费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249,771.93</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31204</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费用补贴</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30309</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奖励金</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520.00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30229</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福利费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168,000.00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31205</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利息补贴</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30310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个人农业生产补贴</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30231</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公务用车运行维护费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31206</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其他资本性补助</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30311</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代缴社会保险费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30239</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其他交通费用</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439,995.00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31299</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其他对企业补助</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30399</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146,095.00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30240</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税金及附加费用</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399</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其他支出</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30299</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其他商品和服务支出</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606,670.00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39907</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国家赔偿费用支出</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307</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债务利息及费用支出</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39908</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对民间非营利组织和群众性自治组织补贴</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30701</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国内债务付息</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39909</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经常性赠与</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30702</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国外债务付息</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39910</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资本性赠与</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43"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54"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39999</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其他支出</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999"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人员经费合计</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36,157,981.74</w:t>
            </w:r>
          </w:p>
        </w:tc>
        <w:tc>
          <w:tcPr>
            <w:tcW w:w="2710" w:type="pct"/>
            <w:gridSpan w:val="5"/>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公用经费合计</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3,146,980.34</w:t>
            </w:r>
          </w:p>
        </w:tc>
      </w:tr>
      <w:tr>
        <w:tblPrEx>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注：本表反映本年度一般公共预算财政拨款基本支出明细情况。</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 xml:space="preserve">八、政府性基金预算财政拨款收入支出决算表 </w:t>
      </w:r>
    </w:p>
    <w:tbl>
      <w:tblPr>
        <w:tblStyle w:val="11"/>
        <w:tblW w:w="5000" w:type="pct"/>
        <w:tblInd w:w="0" w:type="dxa"/>
        <w:tblLayout w:type="fixed"/>
        <w:tblCellMar>
          <w:top w:w="0" w:type="dxa"/>
          <w:left w:w="108" w:type="dxa"/>
          <w:bottom w:w="0" w:type="dxa"/>
          <w:right w:w="108" w:type="dxa"/>
        </w:tblCellMar>
      </w:tblPr>
      <w:tblGrid>
        <w:gridCol w:w="1409"/>
        <w:gridCol w:w="3137"/>
        <w:gridCol w:w="1629"/>
        <w:gridCol w:w="1598"/>
        <w:gridCol w:w="1584"/>
        <w:gridCol w:w="1567"/>
        <w:gridCol w:w="1548"/>
        <w:gridCol w:w="1520"/>
      </w:tblGrid>
      <w:tr>
        <w:tblPrEx>
          <w:tblCellMar>
            <w:top w:w="0" w:type="dxa"/>
            <w:left w:w="108" w:type="dxa"/>
            <w:bottom w:w="0" w:type="dxa"/>
            <w:right w:w="108" w:type="dxa"/>
          </w:tblCellMar>
        </w:tblPrEx>
        <w:trPr>
          <w:trHeight w:val="320" w:hRule="atLeast"/>
        </w:trPr>
        <w:tc>
          <w:tcPr>
            <w:tcW w:w="4457" w:type="pct"/>
            <w:gridSpan w:val="7"/>
            <w:tcBorders>
              <w:top w:val="nil"/>
              <w:left w:val="nil"/>
              <w:bottom w:val="nil"/>
              <w:right w:val="nil"/>
            </w:tcBorders>
            <w:shd w:val="clear" w:color="auto" w:fill="auto"/>
            <w:noWrap/>
            <w:vAlign w:val="bottom"/>
          </w:tcPr>
          <w:p>
            <w:pPr>
              <w:widowControl/>
              <w:jc w:val="left"/>
              <w:textAlignment w:val="bottom"/>
              <w:rPr>
                <w:rFonts w:ascii="宋体-简" w:hAnsi="宋体-简" w:eastAsia="宋体-简" w:cs="宋体-简"/>
                <w:color w:val="000000"/>
                <w:sz w:val="20"/>
                <w:szCs w:val="20"/>
              </w:rPr>
            </w:pPr>
            <w:r>
              <w:rPr>
                <w:rFonts w:hint="eastAsia" w:ascii="宋体-简" w:hAnsi="宋体-简" w:eastAsia="宋体-简" w:cs="宋体-简"/>
                <w:color w:val="000000"/>
                <w:sz w:val="20"/>
                <w:szCs w:val="20"/>
              </w:rPr>
              <w:t>部门（单位）：</w:t>
            </w:r>
            <w:r>
              <w:rPr>
                <w:rFonts w:ascii="Arial" w:hAnsi="Arial" w:eastAsia="宋体-简" w:cs="Arial"/>
                <w:color w:val="000000"/>
                <w:sz w:val="20"/>
                <w:szCs w:val="20"/>
              </w:rPr>
              <w:t xml:space="preserve">天津市东丽区人民政府无瑕街道办事处 </w:t>
            </w:r>
          </w:p>
        </w:tc>
        <w:tc>
          <w:tcPr>
            <w:tcW w:w="542" w:type="pct"/>
            <w:tcBorders>
              <w:top w:val="nil"/>
              <w:left w:val="nil"/>
              <w:bottom w:val="nil"/>
              <w:right w:val="nil"/>
            </w:tcBorders>
            <w:shd w:val="clear" w:color="auto" w:fill="auto"/>
            <w:noWrap/>
            <w:vAlign w:val="bottom"/>
          </w:tcPr>
          <w:p>
            <w:pPr>
              <w:widowControl/>
              <w:jc w:val="right"/>
              <w:textAlignment w:val="bottom"/>
              <w:rPr>
                <w:rFonts w:ascii="宋体" w:hAnsi="宋体" w:eastAsia="宋体"/>
                <w:color w:val="000000"/>
                <w:sz w:val="20"/>
                <w:szCs w:val="20"/>
              </w:rPr>
            </w:pPr>
            <w:r>
              <w:rPr>
                <w:rFonts w:hint="eastAsia" w:ascii="宋体" w:hAnsi="宋体" w:eastAsia="宋体"/>
                <w:color w:val="000000"/>
                <w:sz w:val="20"/>
                <w:szCs w:val="20"/>
              </w:rPr>
              <w:t>单位：元</w:t>
            </w:r>
          </w:p>
        </w:tc>
      </w:tr>
      <w:tr>
        <w:tblPrEx>
          <w:tblCellMar>
            <w:top w:w="0" w:type="dxa"/>
            <w:left w:w="108" w:type="dxa"/>
            <w:bottom w:w="0" w:type="dxa"/>
            <w:right w:w="108" w:type="dxa"/>
          </w:tblCellMar>
        </w:tblPrEx>
        <w:trPr>
          <w:trHeight w:val="308" w:hRule="atLeast"/>
        </w:trPr>
        <w:tc>
          <w:tcPr>
            <w:tcW w:w="16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支出功能分类科目</w:t>
            </w:r>
          </w:p>
        </w:tc>
        <w:tc>
          <w:tcPr>
            <w:tcW w:w="582"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年初结转和结余</w:t>
            </w:r>
          </w:p>
        </w:tc>
        <w:tc>
          <w:tcPr>
            <w:tcW w:w="571"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本年收入</w:t>
            </w:r>
          </w:p>
        </w:tc>
        <w:tc>
          <w:tcPr>
            <w:tcW w:w="1677" w:type="pct"/>
            <w:gridSpan w:val="3"/>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本年支出</w:t>
            </w:r>
          </w:p>
        </w:tc>
        <w:tc>
          <w:tcPr>
            <w:tcW w:w="542"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年末结转和结余</w:t>
            </w:r>
          </w:p>
        </w:tc>
      </w:tr>
      <w:tr>
        <w:tblPrEx>
          <w:tblCellMar>
            <w:top w:w="0" w:type="dxa"/>
            <w:left w:w="108" w:type="dxa"/>
            <w:bottom w:w="0" w:type="dxa"/>
            <w:right w:w="108" w:type="dxa"/>
          </w:tblCellMar>
        </w:tblPrEx>
        <w:trPr>
          <w:trHeight w:val="308" w:hRule="atLeast"/>
        </w:trPr>
        <w:tc>
          <w:tcPr>
            <w:tcW w:w="504"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1121"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582"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571"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566"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小计</w:t>
            </w:r>
          </w:p>
        </w:tc>
        <w:tc>
          <w:tcPr>
            <w:tcW w:w="560"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基本支出  </w:t>
            </w:r>
          </w:p>
        </w:tc>
        <w:tc>
          <w:tcPr>
            <w:tcW w:w="549"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项目支出</w:t>
            </w:r>
          </w:p>
        </w:tc>
        <w:tc>
          <w:tcPr>
            <w:tcW w:w="542"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800" w:hRule="atLeast"/>
        </w:trPr>
        <w:tc>
          <w:tcPr>
            <w:tcW w:w="16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36,866,000.00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36,866,000.00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36,866,000.00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211</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节能环保支出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21198</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超长期特别国债安排的支出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2119802</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应对气候变化</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7,656,000.00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7,656,000.00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7,656,000.00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2119899</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其他节能环保支出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9,510,000.00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9,510,000.00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9,510,000.00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215</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资源勘探工业信息等支出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21598</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超长期特别国债安排的支出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2159802</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制造业</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229</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22904</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其他政府性基金及对应专项债务收入安排的支出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2290403</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其他政府性基金债务收入安排的支出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widowControl/>
              <w:jc w:val="left"/>
              <w:textAlignment w:val="center"/>
              <w:rPr>
                <w:rFonts w:ascii="宋体" w:hAnsi="宋体" w:eastAsia="宋体"/>
                <w:color w:val="000000"/>
                <w:sz w:val="22"/>
                <w:szCs w:val="22"/>
              </w:rPr>
            </w:pPr>
            <w:r>
              <w:rPr>
                <w:rFonts w:hint="eastAsia" w:ascii="宋体" w:hAnsi="宋体" w:eastAsia="宋体"/>
                <w:color w:val="000000"/>
                <w:sz w:val="22"/>
                <w:szCs w:val="22"/>
              </w:rPr>
              <w:t>注：本表反映本年度政府性基金预算财政拨款收入、支出及结转和结余情况。</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 xml:space="preserve">九、国有资本经营预算财政拨款支出决算表 </w:t>
      </w:r>
    </w:p>
    <w:tbl>
      <w:tblPr>
        <w:tblStyle w:val="11"/>
        <w:tblW w:w="5000" w:type="pct"/>
        <w:tblInd w:w="0" w:type="dxa"/>
        <w:tblLayout w:type="fixed"/>
        <w:tblCellMar>
          <w:top w:w="0" w:type="dxa"/>
          <w:left w:w="108" w:type="dxa"/>
          <w:bottom w:w="0" w:type="dxa"/>
          <w:right w:w="108" w:type="dxa"/>
        </w:tblCellMar>
      </w:tblPr>
      <w:tblGrid>
        <w:gridCol w:w="1103"/>
        <w:gridCol w:w="3260"/>
        <w:gridCol w:w="1690"/>
        <w:gridCol w:w="1676"/>
        <w:gridCol w:w="1492"/>
        <w:gridCol w:w="1536"/>
        <w:gridCol w:w="1668"/>
        <w:gridCol w:w="1567"/>
      </w:tblGrid>
      <w:tr>
        <w:tblPrEx>
          <w:tblCellMar>
            <w:top w:w="0" w:type="dxa"/>
            <w:left w:w="108" w:type="dxa"/>
            <w:bottom w:w="0" w:type="dxa"/>
            <w:right w:w="108" w:type="dxa"/>
          </w:tblCellMar>
        </w:tblPrEx>
        <w:trPr>
          <w:trHeight w:val="320" w:hRule="atLeast"/>
        </w:trPr>
        <w:tc>
          <w:tcPr>
            <w:tcW w:w="4440" w:type="pct"/>
            <w:gridSpan w:val="7"/>
            <w:tcBorders>
              <w:top w:val="nil"/>
              <w:left w:val="nil"/>
              <w:bottom w:val="nil"/>
              <w:right w:val="nil"/>
            </w:tcBorders>
            <w:shd w:val="clear" w:color="auto" w:fill="auto"/>
            <w:noWrap/>
            <w:vAlign w:val="bottom"/>
          </w:tcPr>
          <w:p>
            <w:pPr>
              <w:widowControl/>
              <w:jc w:val="left"/>
              <w:textAlignment w:val="bottom"/>
              <w:rPr>
                <w:rFonts w:ascii="宋体-简" w:hAnsi="宋体-简" w:eastAsia="宋体-简" w:cs="宋体-简"/>
                <w:color w:val="000000"/>
                <w:sz w:val="20"/>
                <w:szCs w:val="20"/>
              </w:rPr>
            </w:pPr>
            <w:r>
              <w:rPr>
                <w:rFonts w:hint="eastAsia" w:ascii="宋体-简" w:hAnsi="宋体-简" w:eastAsia="宋体-简" w:cs="宋体-简"/>
                <w:color w:val="000000"/>
                <w:sz w:val="20"/>
                <w:szCs w:val="20"/>
              </w:rPr>
              <w:t>部门（单位）：</w:t>
            </w:r>
            <w:r>
              <w:rPr>
                <w:rFonts w:ascii="Arial" w:hAnsi="Arial" w:eastAsia="宋体-简" w:cs="Arial"/>
                <w:color w:val="000000"/>
                <w:sz w:val="20"/>
                <w:szCs w:val="20"/>
              </w:rPr>
              <w:t xml:space="preserve">天津市东丽区人民政府无瑕街道办事处 </w:t>
            </w:r>
          </w:p>
        </w:tc>
        <w:tc>
          <w:tcPr>
            <w:tcW w:w="559" w:type="pct"/>
            <w:tcBorders>
              <w:top w:val="nil"/>
              <w:left w:val="nil"/>
              <w:bottom w:val="nil"/>
              <w:right w:val="nil"/>
            </w:tcBorders>
            <w:shd w:val="clear" w:color="auto" w:fill="auto"/>
            <w:noWrap/>
            <w:vAlign w:val="bottom"/>
          </w:tcPr>
          <w:p>
            <w:pPr>
              <w:widowControl/>
              <w:jc w:val="right"/>
              <w:textAlignment w:val="bottom"/>
              <w:rPr>
                <w:rFonts w:ascii="宋体" w:hAnsi="宋体" w:eastAsia="宋体"/>
                <w:color w:val="000000"/>
                <w:sz w:val="20"/>
                <w:szCs w:val="20"/>
              </w:rPr>
            </w:pPr>
            <w:r>
              <w:rPr>
                <w:rFonts w:hint="eastAsia" w:ascii="宋体" w:hAnsi="宋体" w:eastAsia="宋体"/>
                <w:color w:val="000000"/>
                <w:sz w:val="20"/>
                <w:szCs w:val="20"/>
              </w:rPr>
              <w:t>单位：元</w:t>
            </w:r>
          </w:p>
        </w:tc>
      </w:tr>
      <w:tr>
        <w:tblPrEx>
          <w:tblCellMar>
            <w:top w:w="0" w:type="dxa"/>
            <w:left w:w="108" w:type="dxa"/>
            <w:bottom w:w="0" w:type="dxa"/>
            <w:right w:w="108" w:type="dxa"/>
          </w:tblCellMar>
        </w:tblPrEx>
        <w:trPr>
          <w:trHeight w:val="308" w:hRule="atLeast"/>
        </w:trPr>
        <w:tc>
          <w:tcPr>
            <w:tcW w:w="15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支出功能分类科目</w:t>
            </w:r>
          </w:p>
        </w:tc>
        <w:tc>
          <w:tcPr>
            <w:tcW w:w="60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年初结转和结余</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本年收入</w:t>
            </w:r>
          </w:p>
        </w:tc>
        <w:tc>
          <w:tcPr>
            <w:tcW w:w="167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本年支出</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年末结转和结余</w:t>
            </w:r>
          </w:p>
        </w:tc>
      </w:tr>
      <w:tr>
        <w:tblPrEx>
          <w:tblCellMar>
            <w:top w:w="0" w:type="dxa"/>
            <w:left w:w="108" w:type="dxa"/>
            <w:bottom w:w="0" w:type="dxa"/>
            <w:right w:w="108" w:type="dxa"/>
          </w:tblCellMar>
        </w:tblPrEx>
        <w:trPr>
          <w:trHeight w:val="308" w:hRule="atLeast"/>
        </w:trPr>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11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60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基本支出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项目支出</w:t>
            </w: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80" w:hRule="atLeast"/>
        </w:trPr>
        <w:tc>
          <w:tcPr>
            <w:tcW w:w="15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widowControl/>
              <w:jc w:val="left"/>
              <w:textAlignment w:val="center"/>
              <w:rPr>
                <w:rFonts w:ascii="宋体" w:hAnsi="宋体" w:eastAsia="宋体"/>
                <w:color w:val="000000"/>
                <w:sz w:val="22"/>
                <w:szCs w:val="22"/>
              </w:rPr>
            </w:pPr>
            <w:r>
              <w:rPr>
                <w:rFonts w:hint="eastAsia" w:ascii="宋体" w:hAnsi="宋体" w:eastAsia="宋体"/>
                <w:color w:val="000000"/>
                <w:sz w:val="22"/>
                <w:szCs w:val="22"/>
              </w:rPr>
              <w:t>注：本表反映本年度国有资本经营预算财政拨款收入、支出及结转和结余情况。</w:t>
            </w:r>
          </w:p>
        </w:tc>
      </w:tr>
    </w:tbl>
    <w:p>
      <w:pPr>
        <w:widowControl/>
        <w:ind w:firstLine="600" w:firstLineChars="200"/>
        <w:jc w:val="left"/>
        <w:rPr>
          <w:rFonts w:ascii="宋体" w:eastAsia="仿宋_GB2312"/>
          <w:sz w:val="30"/>
          <w:szCs w:val="30"/>
        </w:rPr>
      </w:pPr>
      <w:r>
        <w:rPr>
          <w:rFonts w:ascii="宋体" w:eastAsia="仿宋_GB2312"/>
          <w:sz w:val="30"/>
          <w:szCs w:val="30"/>
        </w:rPr>
        <w:t>天津市东丽区人民政府无瑕街道办事处2024年国有资本经营预算财政拨款收入支出决算表为空表。</w:t>
      </w:r>
    </w:p>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 xml:space="preserve">十、财政拨款“三公”经费支出决算表 </w:t>
      </w:r>
    </w:p>
    <w:tbl>
      <w:tblPr>
        <w:tblStyle w:val="11"/>
        <w:tblW w:w="13638" w:type="dxa"/>
        <w:tblInd w:w="88" w:type="dxa"/>
        <w:tblLayout w:type="fixed"/>
        <w:tblCellMar>
          <w:top w:w="0" w:type="dxa"/>
          <w:left w:w="108" w:type="dxa"/>
          <w:bottom w:w="0" w:type="dxa"/>
          <w:right w:w="108" w:type="dxa"/>
        </w:tblCellMar>
      </w:tblPr>
      <w:tblGrid>
        <w:gridCol w:w="2169"/>
        <w:gridCol w:w="2108"/>
        <w:gridCol w:w="2400"/>
        <w:gridCol w:w="2385"/>
        <w:gridCol w:w="2430"/>
        <w:gridCol w:w="2146"/>
      </w:tblGrid>
      <w:tr>
        <w:tblPrEx>
          <w:tblCellMar>
            <w:top w:w="0" w:type="dxa"/>
            <w:left w:w="108" w:type="dxa"/>
            <w:bottom w:w="0" w:type="dxa"/>
            <w:right w:w="108" w:type="dxa"/>
          </w:tblCellMar>
        </w:tblPrEx>
        <w:trPr>
          <w:trHeight w:val="320" w:hRule="atLeast"/>
        </w:trPr>
        <w:tc>
          <w:tcPr>
            <w:tcW w:w="11492" w:type="dxa"/>
            <w:gridSpan w:val="5"/>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部门（单位）：天津市东丽区人民政府无瑕街道办事处 </w:t>
            </w:r>
          </w:p>
        </w:tc>
        <w:tc>
          <w:tcPr>
            <w:tcW w:w="2146" w:type="dxa"/>
            <w:tcBorders>
              <w:top w:val="nil"/>
              <w:left w:val="nil"/>
              <w:bottom w:val="nil"/>
              <w:right w:val="nil"/>
            </w:tcBorders>
            <w:shd w:val="clear" w:color="auto" w:fill="auto"/>
            <w:noWrap/>
            <w:vAlign w:val="bottom"/>
          </w:tcPr>
          <w:p>
            <w:pPr>
              <w:widowControl/>
              <w:jc w:val="righ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单位：元</w:t>
            </w:r>
          </w:p>
        </w:tc>
      </w:tr>
      <w:tr>
        <w:tblPrEx>
          <w:tblCellMar>
            <w:top w:w="0" w:type="dxa"/>
            <w:left w:w="108" w:type="dxa"/>
            <w:bottom w:w="0" w:type="dxa"/>
            <w:right w:w="108" w:type="dxa"/>
          </w:tblCellMar>
        </w:tblPrEx>
        <w:trPr>
          <w:trHeight w:val="308" w:hRule="atLeast"/>
        </w:trPr>
        <w:tc>
          <w:tcPr>
            <w:tcW w:w="216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2108" w:type="dxa"/>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因公出国（境）费</w:t>
            </w:r>
          </w:p>
        </w:tc>
        <w:tc>
          <w:tcPr>
            <w:tcW w:w="7215" w:type="dxa"/>
            <w:gridSpan w:val="3"/>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公务用车购置及运行维护费</w:t>
            </w:r>
          </w:p>
        </w:tc>
        <w:tc>
          <w:tcPr>
            <w:tcW w:w="2146" w:type="dxa"/>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公务接待费</w:t>
            </w:r>
          </w:p>
        </w:tc>
      </w:tr>
      <w:tr>
        <w:tblPrEx>
          <w:tblCellMar>
            <w:top w:w="0" w:type="dxa"/>
            <w:left w:w="108" w:type="dxa"/>
            <w:bottom w:w="0" w:type="dxa"/>
            <w:right w:w="108" w:type="dxa"/>
          </w:tblCellMar>
        </w:tblPrEx>
        <w:trPr>
          <w:trHeight w:val="308" w:hRule="atLeast"/>
        </w:trPr>
        <w:tc>
          <w:tcPr>
            <w:tcW w:w="216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2108"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2400" w:type="dxa"/>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小计</w:t>
            </w:r>
          </w:p>
        </w:tc>
        <w:tc>
          <w:tcPr>
            <w:tcW w:w="2385" w:type="dxa"/>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公务用车购置费</w:t>
            </w:r>
          </w:p>
        </w:tc>
        <w:tc>
          <w:tcPr>
            <w:tcW w:w="2430" w:type="dxa"/>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公务用车运行维护费</w:t>
            </w:r>
          </w:p>
        </w:tc>
        <w:tc>
          <w:tcPr>
            <w:tcW w:w="2146"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720" w:hRule="atLeast"/>
        </w:trPr>
        <w:tc>
          <w:tcPr>
            <w:tcW w:w="21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3638" w:type="dxa"/>
            <w:gridSpan w:val="6"/>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注：本表反映本年度“三公”经费支出决算情况。其中决算数是包括当年财政拨款和以前年度结转资金安排的实际支出。</w:t>
            </w:r>
          </w:p>
        </w:tc>
      </w:tr>
    </w:tbl>
    <w:p>
      <w:pPr>
        <w:widowControl/>
        <w:ind w:firstLine="600" w:firstLineChars="200"/>
        <w:jc w:val="left"/>
        <w:rPr>
          <w:rFonts w:ascii="宋体" w:eastAsia="仿宋_GB2312"/>
          <w:sz w:val="30"/>
          <w:szCs w:val="30"/>
        </w:rPr>
      </w:pPr>
      <w:r>
        <w:rPr>
          <w:rFonts w:ascii="宋体" w:eastAsia="仿宋_GB2312"/>
          <w:sz w:val="30"/>
          <w:szCs w:val="30"/>
        </w:rPr>
        <w:t>天津市东丽区人民政府无瑕街道办事处2024年财政拨款“三公”经费支出决算表为空表。</w:t>
      </w:r>
    </w:p>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 xml:space="preserve">十一、项目支出决算表 </w:t>
      </w:r>
    </w:p>
    <w:tbl>
      <w:tblPr>
        <w:tblStyle w:val="11"/>
        <w:tblW w:w="5000" w:type="pct"/>
        <w:tblInd w:w="0" w:type="dxa"/>
        <w:tblLayout w:type="fixed"/>
        <w:tblCellMar>
          <w:top w:w="0" w:type="dxa"/>
          <w:left w:w="108" w:type="dxa"/>
          <w:bottom w:w="0" w:type="dxa"/>
          <w:right w:w="108" w:type="dxa"/>
        </w:tblCellMar>
      </w:tblPr>
      <w:tblGrid>
        <w:gridCol w:w="1111"/>
        <w:gridCol w:w="2815"/>
        <w:gridCol w:w="1769"/>
        <w:gridCol w:w="1629"/>
        <w:gridCol w:w="1690"/>
        <w:gridCol w:w="1645"/>
        <w:gridCol w:w="1699"/>
        <w:gridCol w:w="1634"/>
      </w:tblGrid>
      <w:tr>
        <w:tblPrEx>
          <w:tblCellMar>
            <w:top w:w="0" w:type="dxa"/>
            <w:left w:w="108" w:type="dxa"/>
            <w:bottom w:w="0" w:type="dxa"/>
            <w:right w:w="108" w:type="dxa"/>
          </w:tblCellMar>
        </w:tblPrEx>
        <w:trPr>
          <w:trHeight w:val="320" w:hRule="atLeast"/>
        </w:trPr>
        <w:tc>
          <w:tcPr>
            <w:tcW w:w="4416" w:type="pct"/>
            <w:gridSpan w:val="7"/>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部门（单位）：天津市东丽区人民政府无瑕街道办事处 </w:t>
            </w:r>
          </w:p>
        </w:tc>
        <w:tc>
          <w:tcPr>
            <w:tcW w:w="583" w:type="pct"/>
            <w:tcBorders>
              <w:top w:val="nil"/>
              <w:left w:val="nil"/>
              <w:bottom w:val="nil"/>
              <w:right w:val="nil"/>
            </w:tcBorders>
            <w:shd w:val="clear" w:color="auto" w:fill="auto"/>
            <w:noWrap/>
            <w:vAlign w:val="bottom"/>
          </w:tcPr>
          <w:p>
            <w:pPr>
              <w:widowControl/>
              <w:jc w:val="righ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单位：元</w:t>
            </w:r>
          </w:p>
        </w:tc>
      </w:tr>
      <w:tr>
        <w:tblPrEx>
          <w:tblCellMar>
            <w:top w:w="0" w:type="dxa"/>
            <w:left w:w="108" w:type="dxa"/>
            <w:bottom w:w="0" w:type="dxa"/>
            <w:right w:w="108" w:type="dxa"/>
          </w:tblCellMar>
        </w:tblPrEx>
        <w:trPr>
          <w:trHeight w:val="308" w:hRule="atLeast"/>
        </w:trPr>
        <w:tc>
          <w:tcPr>
            <w:tcW w:w="39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1006"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3596" w:type="pct"/>
            <w:gridSpan w:val="6"/>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本年支出</w:t>
            </w:r>
          </w:p>
        </w:tc>
      </w:tr>
      <w:tr>
        <w:tblPrEx>
          <w:tblCellMar>
            <w:top w:w="0" w:type="dxa"/>
            <w:left w:w="108" w:type="dxa"/>
            <w:bottom w:w="0" w:type="dxa"/>
            <w:right w:w="108" w:type="dxa"/>
          </w:tblCellMar>
        </w:tblPrEx>
        <w:trPr>
          <w:trHeight w:val="308" w:hRule="atLeast"/>
        </w:trPr>
        <w:tc>
          <w:tcPr>
            <w:tcW w:w="3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1006"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632"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  计</w:t>
            </w:r>
          </w:p>
        </w:tc>
        <w:tc>
          <w:tcPr>
            <w:tcW w:w="582"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一般公共预算</w:t>
            </w:r>
          </w:p>
        </w:tc>
        <w:tc>
          <w:tcPr>
            <w:tcW w:w="604"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政府性基金预算</w:t>
            </w:r>
          </w:p>
        </w:tc>
        <w:tc>
          <w:tcPr>
            <w:tcW w:w="588"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国有资本经营预算</w:t>
            </w:r>
          </w:p>
        </w:tc>
        <w:tc>
          <w:tcPr>
            <w:tcW w:w="604"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财政专户管理资金</w:t>
            </w:r>
          </w:p>
        </w:tc>
        <w:tc>
          <w:tcPr>
            <w:tcW w:w="583"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单位资金</w:t>
            </w:r>
          </w:p>
        </w:tc>
      </w:tr>
      <w:tr>
        <w:tblPrEx>
          <w:tblCellMar>
            <w:top w:w="0" w:type="dxa"/>
            <w:left w:w="108" w:type="dxa"/>
            <w:bottom w:w="0" w:type="dxa"/>
            <w:right w:w="108" w:type="dxa"/>
          </w:tblCellMar>
        </w:tblPrEx>
        <w:trPr>
          <w:trHeight w:val="800" w:hRule="atLeast"/>
        </w:trPr>
        <w:tc>
          <w:tcPr>
            <w:tcW w:w="14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71,975,932.11</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35,109,932.11</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36,866,000.00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一般公共服务支出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1,208,500.00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1,208,500.00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20101</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人大事务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12,500.00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12,500.00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2010199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其他人大事务支出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12,500.00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12,500.00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20103</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政府办公厅（室）及相关机构事务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800,000.00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2010301</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行政运行</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800,000.00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20199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其他一般公共服务支出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396,000.00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396,000.00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2019999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其他一般公共服务支出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396,000.00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396,000.00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207</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文化旅游体育与传媒支出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20799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其他文化旅游体育与传媒支出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2079999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其他文化旅游体育与传媒支出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259,360.00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社会保障和就业支出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22,847,741.01</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22,847,741.01</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20801</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人力资源和社会保障管理事务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4,339,829.76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4,339,829.76</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2080103</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机关服务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4,339,829.76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4,339,829.76</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20802</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民政管理事务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474,321.25</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474,321.25</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2080208</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基层政权建设和社区治理</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474,321.25</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474,321.25</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20820</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临时救助</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33,590.00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33,590.00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2082001</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临时救助支出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33,590.00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33,590.00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20899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其他社会保障和就业支出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18,000,000.00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2089999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其他社会保障和就业支出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18,000,000.00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卫生健康支出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21007</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计划生育事务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2100799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其他计划生育事务支出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180,800.00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211</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节能环保支出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21198</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超长期特别国债安排的支出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17,166,000.00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2119802</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应对气候变化</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7,656,000.00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7,656,000.00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2119899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其他节能环保支出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9,510,000.00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9,510,000.00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城乡社区支出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7,777,878.10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7,777,878.10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21203</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城乡社区公共设施</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167,878.10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167,878.10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2120399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其他城乡社区公共设施支出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167,878.10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167,878.10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21205</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城乡社区环境卫生</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7,610,000.00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7,610,000.00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2120501</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城乡社区环境卫生</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7,610,000.00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7,610,000.00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农林水支出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2,595,653.00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2,595,653.00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21301</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农业农村</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2130126</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农村社会事业</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1,200,000.00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21307</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农村综合改革</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1,395,653.00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1,395,653.00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2130705</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对村民委员会和村党支部的补助</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970,553.00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970,553.00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2130799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其他农村综合改革支出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425,100.00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425,100.00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215</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资源勘探工业信息等支出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21598</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超长期特别国债安排的支出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2159802</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制造业</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8,700,000.00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援助其他地区支出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21901</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一般公共服务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2190100</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一般公共服务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240,000.00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22904</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其他政府性基金及对应专项债务收入安排的支出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2290403</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其他政府性基金债务收入安排的支出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11,000,000.00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注：本表反映本年度项目支出决算情况，其中支出数包括当年预算资金和以前年度结转资金安排的合计实际支出。</w:t>
            </w:r>
          </w:p>
        </w:tc>
      </w:tr>
    </w:tbl>
    <w:p>
      <w:pPr>
        <w:rPr>
          <w:rFonts w:asciiTheme="minorEastAsia" w:hAnsiTheme="minorEastAsia" w:cstheme="minorEastAsia"/>
          <w:sz w:val="22"/>
          <w:szCs w:val="22"/>
        </w:rPr>
      </w:pPr>
    </w:p>
    <w:p>
      <w:pPr>
        <w:rPr>
          <w:rFonts w:asciiTheme="minorEastAsia" w:hAnsiTheme="minorEastAsia" w:cstheme="minorEastAsia"/>
          <w:sz w:val="22"/>
          <w:szCs w:val="22"/>
        </w:rPr>
        <w:sectPr>
          <w:footerReference r:id="rId6" w:type="default"/>
          <w:pgSz w:w="16838" w:h="11906" w:orient="landscape"/>
          <w:pgMar w:top="2098" w:right="1531" w:bottom="1984" w:left="1531" w:header="851" w:footer="992" w:gutter="0"/>
          <w:cols w:space="720" w:num="1"/>
          <w:docGrid w:type="lines" w:linePitch="312" w:charSpace="0"/>
        </w:sectPr>
      </w:pPr>
    </w:p>
    <w:p>
      <w:pPr>
        <w:widowControl/>
        <w:spacing w:line="360" w:lineRule="auto"/>
        <w:jc w:val="center"/>
        <w:outlineLvl w:val="0"/>
        <w:rPr>
          <w:rFonts w:ascii="黑体" w:eastAsia="黑体"/>
          <w:sz w:val="44"/>
          <w:szCs w:val="44"/>
        </w:rPr>
      </w:pPr>
      <w:r>
        <w:rPr>
          <w:rFonts w:ascii="黑体" w:eastAsia="黑体"/>
          <w:sz w:val="44"/>
          <w:szCs w:val="44"/>
        </w:rPr>
        <w:t>第三部分  2024年度部门决算情况说明</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一、收入支出决算总体情况说明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人民政府无瑕街道办事处2024年度收入、支出决算总计111,280,894.19元。与2023年度相比，收、支总计各增加30,607,712.31元，增长37.940%，主要原因是本年增加了散货物流区基础设施建设等政府性基金预算项目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收入包括：一般公共预算财政拨款收入74,414,894.19元、政府性基金预算财政拨款收入36,866,000.00元。</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支出包括：一般公共服务支出23,221,751.68元、文化旅游体育与传媒支出259,360.00元、社会保障和就业支出27,298,966.88元、卫生健康支出1,614,141.41元、节能环保支出17,166,000.00元、城乡社区支出12,068,988.66元、农林水支出3,120,542.56元、资源勘探工业信息等支出8,700,000.00元、援助其他地区支出240,000.00元、住房保障支出6,591,143.00元、其他支出11,000,000.00元。</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二、收入决算情况说明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天津市东丽区人民政府无瑕街道办事处2024年度本年收入合计111,280,894.19元，与2023年度相比增加30,607,712.31元，主要原因是本年增加了散货物流区基础设施建设等政府性基金预算项目支出。其中：</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一般公共预算财政拨款收入74,414,894.19元，占66.871%；政府性基金预算财政拨款收入36,866,000.00元，占33.129%。</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三、支出决算情况说明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天津市东丽区人民政府无瑕街道办事处2024年度本年支出合计111,280,894.19元，与2023年度相比增加30,607,712.31元，主要原因是本年增加了散货物流区基础设施建设等政府性基金预算项目支出。其中：</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基本支出39,304,962.08元，占35.320%；项目支出71,975,932.11元，占64.680%。</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四、财政拨款收支决算总体情况说明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人民政府无瑕街道办事处2024年度财政拨款收入、支出决算总计111,280,894.19元。与2023年度相比，财政拨款收、支总计各增加30,607,712.31元，增长37.940%，主要原因是本年增加了散货物流区基础设施建设等政府性基金预算项目支出。</w:t>
      </w:r>
    </w:p>
    <w:p>
      <w:pPr>
        <w:widowControl/>
        <w:spacing w:line="360" w:lineRule="auto"/>
        <w:ind w:firstLine="600" w:firstLineChars="200"/>
        <w:jc w:val="left"/>
        <w:outlineLvl w:val="1"/>
        <w:rPr>
          <w:rFonts w:ascii="Times New Roman" w:eastAsia="仿宋_GB2312"/>
          <w:sz w:val="30"/>
          <w:szCs w:val="30"/>
        </w:rPr>
      </w:pPr>
      <w:r>
        <w:rPr>
          <w:rFonts w:ascii="Times New Roman" w:eastAsia="仿宋_GB2312"/>
          <w:sz w:val="30"/>
          <w:szCs w:val="30"/>
        </w:rPr>
        <w:t>收入包括：一般公共预算财政拨款74,414,894.19元、政府性基金预算财政拨款36,866,000.00元。</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支出包括：一般公共服务支出23,221,751.68元、文化旅游体育与传媒支出259,360.00元、社会保障和就业支出27,298,966.88元、卫生健康支出1,614,141.41元、节能环保支出17,166,000.00元、城乡社区支出12,068,988.66元、农林水支出3,120,542.56元、资源勘探工业信息等支出8,700,000.00元、援助其他地区支出240,000.00元、住房保障支出6,591,143.00元、其他支出11,000,000.00元。</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五、一般公共预算财政拨款支出决算情况说明</w:t>
      </w:r>
    </w:p>
    <w:p>
      <w:pPr>
        <w:widowControl/>
        <w:spacing w:line="360" w:lineRule="auto"/>
        <w:ind w:firstLine="602" w:firstLineChars="200"/>
        <w:jc w:val="left"/>
        <w:rPr>
          <w:rFonts w:ascii="楷体" w:eastAsia="楷体"/>
          <w:sz w:val="30"/>
          <w:szCs w:val="30"/>
        </w:rPr>
      </w:pPr>
      <w:r>
        <w:rPr>
          <w:rFonts w:ascii="楷体" w:eastAsia="楷体"/>
          <w:b/>
          <w:sz w:val="30"/>
          <w:szCs w:val="30"/>
        </w:rPr>
        <w:t>（一）总体情况</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人民政府无瑕街道办事处2024年度部门决算一般公共预算财政拨款支出合计74,414,894.19元，占本年支出合计的66.871%。与2023年度相比，一般公共预算财政拨款支出减少6,258,287.69元，下降7.758%，主要原因是本年度减少了社会保障和就业及城乡社区支出等项目支出。</w:t>
      </w:r>
    </w:p>
    <w:p>
      <w:pPr>
        <w:widowControl/>
        <w:spacing w:line="360" w:lineRule="auto"/>
        <w:ind w:firstLine="602" w:firstLineChars="200"/>
        <w:jc w:val="left"/>
        <w:rPr>
          <w:rFonts w:ascii="楷体" w:eastAsia="楷体"/>
          <w:sz w:val="30"/>
          <w:szCs w:val="30"/>
        </w:rPr>
      </w:pPr>
      <w:r>
        <w:rPr>
          <w:rFonts w:ascii="楷体" w:eastAsia="楷体"/>
          <w:b/>
          <w:sz w:val="30"/>
          <w:szCs w:val="30"/>
        </w:rPr>
        <w:t>（二）支出结构情况</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2024年度一般公共预算财政拨款支出74,414,894.19元，主要用于以下方面：一般公共服务支出（类）23,221,751.68元，占31.206%；文化旅游体育与传媒支出（类）259,360.00元，占0.349%；社会保障和就业支出（类）27,298,966.88元，占36.685%；卫生健康支出（类）1,614,141.41元，占2.169%；城乡社区支出（类）12,068,988.66元，占16.219%；农林水支出（类）3,120,542.56元，占4.193%；援助其他地区支出（类）240,000.00元，占0.323%；住房保障支出（类）6,591,143.00元，占8.857%。</w:t>
      </w:r>
    </w:p>
    <w:p>
      <w:pPr>
        <w:widowControl/>
        <w:spacing w:line="360" w:lineRule="auto"/>
        <w:ind w:firstLine="602" w:firstLineChars="200"/>
        <w:jc w:val="left"/>
        <w:rPr>
          <w:rFonts w:ascii="楷体" w:eastAsia="楷体"/>
          <w:sz w:val="30"/>
          <w:szCs w:val="30"/>
        </w:rPr>
      </w:pPr>
      <w:r>
        <w:rPr>
          <w:rFonts w:ascii="楷体" w:eastAsia="楷体"/>
          <w:b/>
          <w:sz w:val="30"/>
          <w:szCs w:val="30"/>
        </w:rPr>
        <w:t>（三）具体情况</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2024年度一般公共预算财政拨款支出年初预算为53,886,900.00元，支出决算为74,414,894.19元，完成年初预算的138.095%。其中： </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1.​一般公共服务支出(类)人大事务(款)其他人大事务支出(项)年初预算为34,000.00元，支出决算为12,500.00元，完成年初预算的36.765%，决算数小于年初预算数的主要原因是：根据实际项目情况列支项目经费。</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2.​一般公共服务支出(类)政府办公厅（室）及相关机构事务(款)行政运行(项)年初预算为10,766,900.00元，支出决算为11,075,051.29元，完成年初预算的102.862%，决算数大于年初预算数的主要原因是：人员动态调整（调入 2 人，新招录 1 人，调出 4 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3.​一般公共服务支出(类)财政事务(款)其他财政事务支出(项)年初预算为1,953,900.00元，支出决算为1,360,843.82元，完成年初预算的69.648%，决算数小于年初预算数的主要原因是：因机构改革，天津市东丽区无瑕街财务中心于2024年9月份撤销。</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4.​一般公共服务支出(类)商贸事务(款)其他商贸事务支出(项)年初预算为1,999,100.00元，支出决算为1,418,391.86元，完成年初预算的70.952%，决算数小于年初预算数的主要原因是：因机构改革，天津市东丽区无瑕街经济发展中心于2024年9月份撤销。</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5.​一般公共服务支出(类)其他共产党事务支出(款)其他共产党事务支出(项)年初预算为9,386,900.00元，支出决算为8,958,964.71元，完成年初预算的95.441%，决算数小于年初预算数的主要原因是：响应政府过紧日子号召，厉行节约，压减经费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6.​一般公共服务支出(类)其他一般公共服务支出(款)其他一般公共服务支出(项)年初预算为396,000.00元，支出决算为396,000.00元，完成年初预算的100.000%，决算数与年初预算数持平的主要原因是：本项目严格按照预算执行。</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7.​文化旅游体育与传媒支出(类)文化和旅游(款)一般行政管理事务(项)年初预算为200,000.00元，支出决算为0.00元，完成年初预算的0.000%，决算数小于年初预算数的主要原因是：响应政府过紧日子号召，厉行节约，压减经费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8.​文化旅游体育与传媒支出(类)其他文化旅游体育与传媒支出(款)其他文化旅游体育与传媒支出(项)年初预算为259,400.00元，支出决算为259,360.00元，完成年初预算的99.985%，决算数小于年初预算数的主要原因是：响应政府过紧日子号召，厉行节约，压减经费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9.​社会保障和就业支出(类)人力资源和社会保障管理事务(款)机关服务(项)年初预算为2,600,200.00元，支出决算为4,339,829.76元，完成年初预算的166.904%，决算数大于年初预算数的主要原因是：年中增加了裁撤编外人员赔偿经费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10.​社会保障和就业支出(类)民政管理事务(款)基层政权建设和社区治理(项)年初预算为450,000.00元，支出决算为474,321.25元，完成年初预算的105.405%，决算数大于年初预算数的主要原因是：年中追加了社区项目经费的专项预算。</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11.​社会保障和就业支出(类)行政事业单位养老支出(款)机关事业单位基本养老保险缴费支出(项)年初预算为2,017,700.00元，支出决算为1,978,099.48元，完成年初预算的98.037%，决算数小于年初预算数的主要原因是：人员动态调整，按实际情况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12.​社会保障和就业支出(类)行政事业单位养老支出(款)机关事业单位职业年金缴费支出(项)年初预算为1,008,700.00元，支出决算为984,353.24元，完成年初预算的97.586%，决算数小于年初预算数的主要原因是：人员动态调整，按实际情况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13.​社会保障和就业支出(类)退役安置(款)其他退役安置支出(项)年初预算为1,145,700.00元，支出决算为1,488,773.15元，完成年初预算的129.944%，决算数大于年初预算数的主要原因是：天津市东丽区无瑕街退役军人服务站人员动态调整（调入11人，退休1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14.​社会保障和就业支出(类)临时救助(款)临时救助支出(项)年初预算为40,000.00元，支出决算为33,590.00元，完成年初预算的83.975%，决算数小于年初预算数的主要原因是：临时救助项目支出减少。</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15.​社会保障和就业支出(类)其他社会保障和就业支出(款)其他社会保障和就业支出(项)年初预算为0.00元，支出决算为18,000,000.00元，决算数大于年初预算数的主要原因是：本年增加了 4+1 村养老金项目支出。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16.​卫生健康支出(类)计划生育事务(款)其他计划生育事务支出(项)年初预算为180,800.00元，支出决算为180,800.00元，完成年初预算的100.000%，决算数与年初预算数持平的主要原因是：本项目严格按照预算执行。</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17.​卫生健康支出(类)行政事业单位医疗(款)行政单位医疗(项)年初预算为615,300.00元，支出决算为611,208.35元，完成年初预算的99.335%，决算数小于年初预算数的主要原因是：​​人员动态调整，按实际情况支出。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18.​卫生健康支出(类)行政事业单位医疗(款)事业单位医疗(项)年初预算为723,000.00元，支出决算为699,568.26元，完成年初预算的96.759%，决算数小于年初预算数的主要原因是：​​人员动态调整，按实际情况支出。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19.​卫生健康支出(类)行政事业单位医疗(款)公务员医疗补助(项)年初预算为123,100.00元，支出决算为122,564.80元，完成年初预算的99.565%，决算数小于年初预算数的主要原因是：​​人员动态调整，按实际情况支出。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城乡社区支出(类)城乡社区管理事务(款)城管执法(项)年初预算为1,754,100.00元，支出决算为1,974,206.87元，完成年初预算的112.548%，决算数大于年初预算数的主要原因是：天津市东丽区无瑕街综合执法大队人员动态调整（新招录2人，调出1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21.​城乡社区支出(类)城乡社区管理事务(款)其他城乡社区管理事务支出(项)年初预算为2,134,700.00元，支出决算为2,316,903.69元，完成年初预算的108.535%，决算数大于年初预算数的主要原因是：天津市东丽区无瑕街综合治理中心人员动态调整（调入5人，调出2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22.​城乡社区支出(类)城乡社区公共设施(款)其他城乡社区公共设施支出(项)年初预算为167,900.00元，支出决算为167,878.10元，完成年初预算的99.987%，决算数小于年初预算数的主要原因是：响应政府过紧日子号召，厉行节约，压减经费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23.​城乡社区支出(类)城乡社区环境卫生(款)城乡社区环境卫生(项)年初预算为7,610,000.00元，支出决算为7,610,000.00元，完成年初预算的100.000%，决算数与年初预算数持平的主要原因是：本项目严格按照预算执行。</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24.​农林水支出(类)农业农村(款)农村社会事业(项)年初预算为0.00元，支出决算为1,200,000.00元，决算数大于年初预算数的主要原因是：年中追加了 2023 年街道体制分成资金。</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25.​农林水支出(类)</w:t>
      </w:r>
      <w:r>
        <w:rPr>
          <w:rFonts w:hint="eastAsia" w:ascii="Times New Roman" w:eastAsia="仿宋_GB2312"/>
          <w:sz w:val="30"/>
          <w:szCs w:val="30"/>
        </w:rPr>
        <w:t>巩固拓展脱贫攻坚成果</w:t>
      </w:r>
      <w:r>
        <w:rPr>
          <w:rFonts w:ascii="Times New Roman" w:eastAsia="仿宋_GB2312"/>
          <w:sz w:val="30"/>
          <w:szCs w:val="30"/>
        </w:rPr>
        <w:t>衔接乡村振兴(款)其他</w:t>
      </w:r>
      <w:r>
        <w:rPr>
          <w:rFonts w:hint="eastAsia" w:ascii="Times New Roman" w:eastAsia="仿宋_GB2312"/>
          <w:sz w:val="30"/>
          <w:szCs w:val="30"/>
        </w:rPr>
        <w:t>巩固拓展脱贫攻坚成果</w:t>
      </w:r>
      <w:r>
        <w:rPr>
          <w:rFonts w:ascii="Times New Roman" w:eastAsia="仿宋_GB2312"/>
          <w:sz w:val="30"/>
          <w:szCs w:val="30"/>
        </w:rPr>
        <w:t>衔接乡村振兴支出(项)年初预算为0.00元，支出决算为524,889.56元，决算数大于年初预算数的主要原因是：天津市东丽区无瑕街乡村振兴服务中心为2024年机构改革新增单位。</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26.​农林水支出(类)农村综合改革(款)对村民委员会和村党支部的补助(项)年初预算为917,000.00元，支出决算为970,553.00元，完成年初预算的105.840%，决算数大于年初预算数的主要原因是：增加了在职村干部工资项目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27.​农林水支出(类)农村综合改革(款)其他农村综合改革支出(项)年初预算为435,000.00元，支出决算为425,100.00元，完成年初预算的97.724%，决算数小于年初预算数的主要原因是：响应政府过紧日子号召，厉行节约，压减经费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28.​援助其他地区支出(类)一般公共服务(款)一般公共服务(项)年初预算为310,000.00元，支出决算为240,000.00元，完成年初预算的77.419%，决算数小于年初预算数的主要原因是：响应政府过紧日子号召，厉行节约，压减经费支出​。</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29.​住房保障支出(类)住房改革支出(款)住房公积金(项)年初预算为6,657,500.00元，支出决算为6,591,143.00元，完成年初预算的99.003%，决算数小于年初预算数的主要原因是：人员动态调整，按实际情况支出。</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六、一般公共预算财政拨款基本支出决算情况说明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天津市东丽区人民政府无瑕街道办事处2024年度部门决算一般公共预算财政拨款基本支出合计39,304,962.08元，与2023年度相比增加2,606,180.20元，主要原因是本年新增劳动保障协管员人员经费支出。其中：</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人员经费36,157,981.74元，主要包括基本工资、津贴补贴、奖金、绩效工资、机关事业单位基本养老保险缴费、职业年金缴费、职工基本医疗保险缴费、公务员医疗补助缴费、其他社会保障缴费、住房公积金、医疗费、其他工资福利支出、退休费、医疗费补助、奖励金和其他对个人和家庭的补助。</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公用经费3,146,980.34元，主要包括办公费、手续费、水费、电费、邮电费、取暖费、物业管理费、差旅费、培训费、委托业务费、工会经费、福利费、其他交通费用和其他商品和服务支出。</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七、政府性基金预算财政拨款收支决算情况说明</w:t>
      </w:r>
    </w:p>
    <w:p>
      <w:pPr>
        <w:widowControl/>
        <w:spacing w:line="360" w:lineRule="auto"/>
        <w:ind w:firstLine="602" w:firstLineChars="200"/>
        <w:jc w:val="left"/>
        <w:rPr>
          <w:rFonts w:ascii="楷体" w:eastAsia="楷体"/>
          <w:sz w:val="30"/>
          <w:szCs w:val="30"/>
        </w:rPr>
      </w:pPr>
      <w:r>
        <w:rPr>
          <w:rFonts w:ascii="楷体" w:eastAsia="楷体"/>
          <w:b/>
          <w:sz w:val="30"/>
          <w:szCs w:val="30"/>
        </w:rPr>
        <w:t>（一）总体情况</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人民政府无瑕街道办事处2024年度部门决算政府性基金预算财政拨款年初结转和结余0.00元，收入36,866,000.00元，支出36,866,000.00元，年末结转和结余0.00元。与2023年度相比，政府性基金预算财政拨款支出增加36,866,000.00元，增长100.000%，主要原因是本年新增了政府性基金预算财政拨款 项目支出（节能环保、资源勘探工业信息等支出）。</w:t>
      </w:r>
    </w:p>
    <w:p>
      <w:pPr>
        <w:widowControl/>
        <w:spacing w:line="360" w:lineRule="auto"/>
        <w:ind w:firstLine="602" w:firstLineChars="200"/>
        <w:jc w:val="left"/>
        <w:rPr>
          <w:rFonts w:ascii="楷体" w:eastAsia="楷体"/>
          <w:sz w:val="30"/>
          <w:szCs w:val="30"/>
        </w:rPr>
      </w:pPr>
      <w:r>
        <w:rPr>
          <w:rFonts w:ascii="楷体" w:eastAsia="楷体"/>
          <w:b/>
          <w:sz w:val="30"/>
          <w:szCs w:val="30"/>
        </w:rPr>
        <w:t>（二）支出结构情况</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2024年度政府性基金预算财政拨款支出36,866,000.00元，主要用于以下方面：节能环保支出（类）17,166,000.00元，占46.563%；资源勘探工业信息等支出（类）8,700,000.00元，占23.599%；其他支出（类）11,000,000.00元，占29.838%。</w:t>
      </w:r>
    </w:p>
    <w:p>
      <w:pPr>
        <w:widowControl/>
        <w:spacing w:line="360" w:lineRule="auto"/>
        <w:ind w:firstLine="602" w:firstLineChars="200"/>
        <w:jc w:val="left"/>
        <w:rPr>
          <w:rFonts w:ascii="楷体" w:eastAsia="楷体"/>
          <w:sz w:val="30"/>
          <w:szCs w:val="30"/>
        </w:rPr>
      </w:pPr>
      <w:r>
        <w:rPr>
          <w:rFonts w:ascii="楷体" w:eastAsia="楷体"/>
          <w:b/>
          <w:sz w:val="30"/>
          <w:szCs w:val="30"/>
        </w:rPr>
        <w:t>（三）具体情况</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2024年度政府性基金预算财政拨款支出年初预算为0.00元，支出决算为36,866,000.00元，完成年初预算的0.000%。其中：</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1.​节能环保支出(类)超长期特别国债安排的支出(款)应对气候变化(项)年初预算为0.00元，支出决算为7,656,000.00元，决算数大于年初预算数的主要原因是：年终新增天钢动力鼓风汽拖改电设备更新及配 套项目、天津德屿物流码头项目。</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2.​节能环保支出(类)超长期特别国债安排的支出(款)其他节能环保支出(项)年初预算为0.00元，支出决算为9,510,000.00元，决算数大于年初预算数的主要原因是：年终新增天津钢管制造有限公司变态器更 新项目、天钢公司绿色冶金极致能效提升项目。</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3.​资源勘探工业信息等支出(类)超长期特别国债安排的支出(款)制造业(项)年初预算为0.00元，支出决算为8,700,000.00元，决算数大于年初预算数的主要原因是：年终新增天钢动力空分设备更新优化提升改造项目。</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4.​其他支出(类)其他政府性基金及对应专项债务收入安排的支出(款)其他政府性基金债务收入安排的支出(项)年初预算为0.00元，支出决算为11,000,000.00元，决算数大于年初预算数的主要原因是：年终新增散货物流基础设施建设费项目。</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八、国有资本经营预算财政拨款收支决算情况说明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天津市东丽区人民政府无瑕街道办事处2024年度无国有资本经营预算财政拨款收入、支出和结转结余。</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九、财政拨款“三公”经费支出决算情况说明</w:t>
      </w:r>
    </w:p>
    <w:p>
      <w:pPr>
        <w:widowControl/>
        <w:spacing w:line="360" w:lineRule="auto"/>
        <w:ind w:firstLine="602" w:firstLineChars="200"/>
        <w:jc w:val="left"/>
        <w:rPr>
          <w:rFonts w:ascii="楷体" w:eastAsia="楷体"/>
          <w:sz w:val="30"/>
          <w:szCs w:val="30"/>
        </w:rPr>
      </w:pPr>
      <w:r>
        <w:rPr>
          <w:rFonts w:ascii="楷体" w:eastAsia="楷体"/>
          <w:b/>
          <w:sz w:val="30"/>
          <w:szCs w:val="30"/>
        </w:rPr>
        <w:t>（一）总体情况</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2024年财政拨款“三公”经费预算0.00元，支出决算0.00元，与2024年预算相比持平；支出决算较上年减少23,030.99元，下降100.000%。决算数与预算数持平的主要原因是本年未用财政拨款列支 “三公”经费；决算数较上年减少的主要原因是本年未用财政拨款列支 “三公”经费。</w:t>
      </w:r>
    </w:p>
    <w:p>
      <w:pPr>
        <w:widowControl/>
        <w:spacing w:line="360" w:lineRule="auto"/>
        <w:ind w:firstLine="602" w:firstLineChars="200"/>
        <w:jc w:val="left"/>
        <w:rPr>
          <w:rFonts w:ascii="楷体" w:eastAsia="楷体"/>
          <w:sz w:val="30"/>
          <w:szCs w:val="30"/>
        </w:rPr>
      </w:pPr>
      <w:r>
        <w:rPr>
          <w:rFonts w:ascii="楷体" w:eastAsia="楷体"/>
          <w:b/>
          <w:sz w:val="30"/>
          <w:szCs w:val="30"/>
        </w:rPr>
        <w:t>（二）具体情况</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1.因公出国（境）费预算0.00元，支出决算0.00元，与预算相比持平；支出决算较上年持平；决算数与预算数持平的主要原因是本年未用财政拨款列支 “三公”经费；决算数较上年持平的主要原因是本年未用财政拨款列支 “三公”经费。</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2024年本单位组织的出国团组0个，出国0人次。</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公务用车购置及运行维护费预算0.00元，支出决算0.00元，与预算相比持平；支出决算较上年减少23,030.99元，下降100.000%。决算数与预算数持平的主要原因是本年未用财政拨款列支公务用车购置及运行维护费；决算数较上年减少的主要原因是本年未用财政拨款列支公务用车购置及运行维护费。其中：</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公务用车运行维护费预算0.00元，支出决算0.00元，与预算相比持平；支出决算较上年减少23,030.99元，下降100.000%。决算数与预算数持平的主要原因是本年未用财政拨款列支公务用车运行维护费；决算数较上年减少的主要原因是本年未用财政拨款列支公务用车运行维护费。</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截至2024年12月31日，使用财政拨款开支运行维护费的公务用车保有量为0辆。</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公务用车购置费预算0.00元，支出决算0.00元，与预算相比持平；支出决算较上年持平；决算数与预算数持平的主要原因是本年未用财政拨款列支公务用车购置费；决算数较上年持平的主要原因是本年未用财政拨款列支公务用车购置费。</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2024年购置公务用车0辆。</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3.公务接待费预算0.00元，支出决算0.00元，与预算相比持平；支出决算较上年持平；决算数与预算数持平的主要原因是本年未用财政拨款列支公务接待费；决算数较上年持平的主要原因是本年未用财政拨款列支公务接待费。</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2024年本单位国内公务接待0批次，0人次；其中，外事接待0批次，0人次。</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十、机关运行经费支出情况说明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机关运行经费是指行政单位和参照公务员法管理的事业单位使用财政拨款安排的基本支出中的日常公用经费支出，天津市东丽区人民政府无瑕街道办事处2024年度机关运行经费年初预算1,778,533.24元，决算数1,873,444.24元，与年初预算相比增加94,911.00元，完成年初预算的105.336%；比2023年增加670,643.90元，增长55.757%。主要原因是：由于人员动态调整导致 2024 年度机关运行经费决算数比预算数增加；与 2023 年度相比机关运行经费增加是因为本年度增加了办公费及物业费的支出 。</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十一、政府采购支出情况说明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天津市东丽区人民政府无瑕街道办事处2024年政府采购支出总额45,000.00元，其中：政府采购货物支出45,000.00元、政府采购工程支出0.00元、政府采购服务支出0.00元。</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授予中小企业合同金额0.00元，占政府采购支出总额的0.000%，其中：授予小微企业合同金额0.00元，占政府采购支出总额的0.000%；货物采购授予中小企业合同金额占货物支出金额的0.000%；工程采购授予中小企业合同金额占工程支出金额的0.000%；服务采购授予中小企业合同金额占服务支出金额的0.000%。</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十二、国有资产占有使用情况说明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截至2024年12月31日，天津市东丽区人民政府无瑕街道办事处共有车辆2辆，其中：机要通信用车2辆。单价100万元以上的设备0台（套）。</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十三、预算绩效情况说明</w:t>
      </w:r>
    </w:p>
    <w:p>
      <w:pPr>
        <w:widowControl/>
        <w:ind w:firstLine="600" w:firstLineChars="200"/>
        <w:jc w:val="left"/>
        <w:rPr>
          <w:rFonts w:ascii="Times New Roman" w:eastAsia="仿宋_GB2312"/>
          <w:sz w:val="30"/>
          <w:szCs w:val="30"/>
        </w:rPr>
      </w:pPr>
      <w:r>
        <w:rPr>
          <w:rFonts w:ascii="Times New Roman" w:eastAsia="仿宋_GB2312"/>
          <w:sz w:val="30"/>
          <w:szCs w:val="30"/>
        </w:rPr>
        <w:t>根据预算绩效管理要求，天津市东丽区人民政府无瑕街道办事处2024年度已对27个项目开展绩效自评，涉及金额71975932.11元，自评结果已随部门决算一并公开。天津市东丽区人民政府无瑕街道办事处2024年度未开展部门评价。</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十四、教育、医疗卫生、社会保障和就业、住房保障、涉农补贴等民生支出情况说明</w:t>
      </w:r>
    </w:p>
    <w:p>
      <w:pPr>
        <w:widowControl/>
        <w:ind w:firstLine="600" w:firstLineChars="200"/>
        <w:jc w:val="left"/>
        <w:rPr>
          <w:rFonts w:ascii="Times New Roman" w:eastAsia="仿宋_GB2312"/>
          <w:sz w:val="30"/>
          <w:szCs w:val="30"/>
        </w:rPr>
      </w:pPr>
      <w:r>
        <w:rPr>
          <w:rFonts w:ascii="Times New Roman" w:eastAsia="仿宋_GB2312"/>
          <w:sz w:val="30"/>
          <w:szCs w:val="30"/>
        </w:rPr>
        <w:t>2024年度，天津市东丽区人民政府无瑕街道办事处教育、医疗卫生、社会保障和就业、住房保障、涉农补贴等民生支出情况如下：城镇低保支出2582312.00元。</w:t>
      </w:r>
    </w:p>
    <w:p>
      <w:pPr>
        <w:widowControl/>
        <w:spacing w:line="360" w:lineRule="auto"/>
        <w:jc w:val="center"/>
        <w:outlineLvl w:val="0"/>
        <w:rPr>
          <w:rFonts w:ascii="黑体" w:eastAsia="黑体"/>
          <w:sz w:val="44"/>
          <w:szCs w:val="44"/>
        </w:rPr>
      </w:pPr>
      <w:r>
        <w:rPr>
          <w:rFonts w:ascii="黑体" w:eastAsia="黑体"/>
          <w:sz w:val="44"/>
          <w:szCs w:val="44"/>
        </w:rPr>
        <w:t>第四部分 名词解释</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p>
      <w:pPr>
        <w:rPr>
          <w:rFonts w:asciiTheme="minorEastAsia" w:hAnsiTheme="minorEastAsia" w:cstheme="minorEastAsia"/>
          <w:color w:val="333333"/>
          <w:sz w:val="22"/>
          <w:szCs w:val="22"/>
          <w:shd w:val="clear" w:color="auto" w:fill="FFFFFF"/>
        </w:rPr>
      </w:pPr>
    </w:p>
    <w:sectPr>
      <w:pgSz w:w="11906" w:h="16838"/>
      <w:pgMar w:top="2098" w:right="1417" w:bottom="1871" w:left="1417" w:header="851" w:footer="992" w:gutter="0"/>
      <w:cols w:space="0" w:num="1"/>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Calibri Light">
    <w:altName w:val="DejaVu Sans"/>
    <w:panose1 w:val="020F0302020204030204"/>
    <w:charset w:val="00"/>
    <w:family w:val="swiss"/>
    <w:pitch w:val="default"/>
    <w:sig w:usb0="00000000" w:usb1="00000000" w:usb2="00000000" w:usb3="00000000" w:csb0="0000019F" w:csb1="00000000"/>
  </w:font>
  <w:font w:name="华文中宋">
    <w:altName w:val="汉仪中宋简"/>
    <w:panose1 w:val="02010600040101010101"/>
    <w:charset w:val="86"/>
    <w:family w:val="auto"/>
    <w:pitch w:val="default"/>
    <w:sig w:usb0="00000000" w:usb1="00000000" w:usb2="00000010" w:usb3="00000000" w:csb0="0004009F" w:csb1="00000000"/>
  </w:font>
  <w:font w:name="Arial">
    <w:altName w:val="Nimbus Roman No9 L"/>
    <w:panose1 w:val="020B0604020202020204"/>
    <w:charset w:val="00"/>
    <w:family w:val="swiss"/>
    <w:pitch w:val="default"/>
    <w:sig w:usb0="00000000" w:usb1="00000000" w:usb2="00000009" w:usb3="00000000" w:csb0="000001FF" w:csb1="00000000"/>
  </w:font>
  <w:font w:name="Helvetica">
    <w:altName w:val="Latha"/>
    <w:panose1 w:val="020B0604020202020204"/>
    <w:charset w:val="00"/>
    <w:family w:val="swiss"/>
    <w:pitch w:val="default"/>
    <w:sig w:usb0="00000000" w:usb1="00000000" w:usb2="00000000" w:usb3="00000000" w:csb0="00000001" w:csb1="00000000"/>
  </w:font>
  <w:font w:name="Fz_S_BiaoSong_Jt">
    <w:altName w:val="汉仪仿宋S"/>
    <w:panose1 w:val="00000000000000000000"/>
    <w:charset w:val="00"/>
    <w:family w:val="roman"/>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宋体-简">
    <w:altName w:val="宋体"/>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汉仪仿宋S">
    <w:panose1 w:val="00020600040101000101"/>
    <w:charset w:val="86"/>
    <w:family w:val="auto"/>
    <w:pitch w:val="default"/>
    <w:sig w:usb0="A00002BF" w:usb1="38CF7CFA" w:usb2="00000016" w:usb3="00000000" w:csb0="0004009F" w:csb1="00000000"/>
  </w:font>
  <w:font w:name="Nimbus Roman No9 L">
    <w:panose1 w:val="00000000000000000000"/>
    <w:charset w:val="00"/>
    <w:family w:val="auto"/>
    <w:pitch w:val="default"/>
    <w:sig w:usb0="00000000" w:usb1="00000000" w:usb2="00000000" w:usb3="00000000" w:csb0="00000000" w:csb1="00000000"/>
  </w:font>
  <w:font w:name="汉仪中宋简">
    <w:panose1 w:val="02010600000101010101"/>
    <w:charset w:val="86"/>
    <w:family w:val="auto"/>
    <w:pitch w:val="default"/>
    <w:sig w:usb0="00000001" w:usb1="080E0800" w:usb2="00000002" w:usb3="00000000" w:csb0="00040000" w:csb1="00000000"/>
  </w:font>
  <w:font w:name="Latha">
    <w:panose1 w:val="020B0604020202020204"/>
    <w:charset w:val="00"/>
    <w:family w:val="auto"/>
    <w:pitch w:val="default"/>
    <w:sig w:usb0="001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fldChar w:fldCharType="begin"/>
    </w:r>
    <w:r>
      <w:instrText xml:space="preserve">PAGE</w:instrText>
    </w:r>
    <w:r>
      <w:fldChar w:fldCharType="separate"/>
    </w:r>
    <w:r>
      <w:t>2</w:t>
    </w:r>
    <w:r>
      <w:fldChar w:fldCharType="end"/>
    </w:r>
  </w:p>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fldChar w:fldCharType="begin"/>
    </w:r>
    <w:r>
      <w:instrText xml:space="preserve">PAGE</w:instrText>
    </w:r>
    <w:r>
      <w:fldChar w:fldCharType="separate"/>
    </w:r>
    <w:r>
      <w:t>58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embedTrueTypeFonts/>
  <w:saveSubsetFonts/>
  <w:documentProtection w:enforcement="0"/>
  <w:defaultTabStop w:val="420"/>
  <w:drawingGridVerticalSpacing w:val="165"/>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6C4156"/>
    <w:rsid w:val="00086151"/>
    <w:rsid w:val="00236F8C"/>
    <w:rsid w:val="00417BD9"/>
    <w:rsid w:val="006C4156"/>
    <w:rsid w:val="008175AD"/>
    <w:rsid w:val="00822154"/>
    <w:rsid w:val="00C65689"/>
    <w:rsid w:val="00CC2C8E"/>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5521B6"/>
    <w:rsid w:val="07AC18F2"/>
    <w:rsid w:val="07B3657A"/>
    <w:rsid w:val="07C857D0"/>
    <w:rsid w:val="083F3A0A"/>
    <w:rsid w:val="08AB5AAF"/>
    <w:rsid w:val="09012C64"/>
    <w:rsid w:val="093B2E99"/>
    <w:rsid w:val="095D7943"/>
    <w:rsid w:val="09C006C6"/>
    <w:rsid w:val="0A10621F"/>
    <w:rsid w:val="0A464C4F"/>
    <w:rsid w:val="0A6729A3"/>
    <w:rsid w:val="0A694877"/>
    <w:rsid w:val="0AA954BE"/>
    <w:rsid w:val="0AE70639"/>
    <w:rsid w:val="0B4F5E6D"/>
    <w:rsid w:val="0B753AE2"/>
    <w:rsid w:val="0BB67D0A"/>
    <w:rsid w:val="0BC56230"/>
    <w:rsid w:val="0BCF21BD"/>
    <w:rsid w:val="0C4E53E8"/>
    <w:rsid w:val="0C6712D6"/>
    <w:rsid w:val="0C6A5262"/>
    <w:rsid w:val="0C9F7900"/>
    <w:rsid w:val="0CB23317"/>
    <w:rsid w:val="0D101068"/>
    <w:rsid w:val="0D4E13BE"/>
    <w:rsid w:val="0D7557DF"/>
    <w:rsid w:val="0D853E34"/>
    <w:rsid w:val="0D9C2A57"/>
    <w:rsid w:val="0DC3019B"/>
    <w:rsid w:val="0DFA5D82"/>
    <w:rsid w:val="0E1E52CE"/>
    <w:rsid w:val="0E866524"/>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1177F57"/>
    <w:rsid w:val="11217C97"/>
    <w:rsid w:val="11464C20"/>
    <w:rsid w:val="115E4926"/>
    <w:rsid w:val="118A1FFA"/>
    <w:rsid w:val="11E35B5A"/>
    <w:rsid w:val="11E42DD6"/>
    <w:rsid w:val="125F5A1B"/>
    <w:rsid w:val="126979D6"/>
    <w:rsid w:val="129E45A7"/>
    <w:rsid w:val="13074404"/>
    <w:rsid w:val="136A5C00"/>
    <w:rsid w:val="13B97B08"/>
    <w:rsid w:val="13C527AC"/>
    <w:rsid w:val="14711797"/>
    <w:rsid w:val="147B6F17"/>
    <w:rsid w:val="14D42061"/>
    <w:rsid w:val="15081C8B"/>
    <w:rsid w:val="15090D5C"/>
    <w:rsid w:val="15CF053D"/>
    <w:rsid w:val="15E0131A"/>
    <w:rsid w:val="15E11DC0"/>
    <w:rsid w:val="16457D9F"/>
    <w:rsid w:val="17223EFF"/>
    <w:rsid w:val="178833B6"/>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D21FF2"/>
    <w:rsid w:val="2A3E2317"/>
    <w:rsid w:val="2A611B0F"/>
    <w:rsid w:val="2AC1762B"/>
    <w:rsid w:val="2AE845D0"/>
    <w:rsid w:val="2B043E5C"/>
    <w:rsid w:val="2B4975FB"/>
    <w:rsid w:val="2B695031"/>
    <w:rsid w:val="2B735A8F"/>
    <w:rsid w:val="2BA7478D"/>
    <w:rsid w:val="2BB038DB"/>
    <w:rsid w:val="2BB761E0"/>
    <w:rsid w:val="2BB812F9"/>
    <w:rsid w:val="2BE35C27"/>
    <w:rsid w:val="2BFA504B"/>
    <w:rsid w:val="2BFF2BAC"/>
    <w:rsid w:val="2C681F1F"/>
    <w:rsid w:val="2C8608DC"/>
    <w:rsid w:val="2CA4764A"/>
    <w:rsid w:val="2CC42ECA"/>
    <w:rsid w:val="2CDA4349"/>
    <w:rsid w:val="2D225539"/>
    <w:rsid w:val="2D4618D2"/>
    <w:rsid w:val="2D5F021B"/>
    <w:rsid w:val="2D6E1286"/>
    <w:rsid w:val="2D70583E"/>
    <w:rsid w:val="2D7ECED1"/>
    <w:rsid w:val="2E0725DC"/>
    <w:rsid w:val="2E1B4BB8"/>
    <w:rsid w:val="2E256CB6"/>
    <w:rsid w:val="2E5F27E4"/>
    <w:rsid w:val="2EBD223E"/>
    <w:rsid w:val="2EC10AD1"/>
    <w:rsid w:val="2ECB6A5A"/>
    <w:rsid w:val="2EE65418"/>
    <w:rsid w:val="2EFC0112"/>
    <w:rsid w:val="2F0F6197"/>
    <w:rsid w:val="2F2B730D"/>
    <w:rsid w:val="2F9F3DC1"/>
    <w:rsid w:val="2FDD68F6"/>
    <w:rsid w:val="2FFC7AC2"/>
    <w:rsid w:val="301430AF"/>
    <w:rsid w:val="30630612"/>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60134DF"/>
    <w:rsid w:val="360B1E2F"/>
    <w:rsid w:val="360D500F"/>
    <w:rsid w:val="36145DDE"/>
    <w:rsid w:val="36330424"/>
    <w:rsid w:val="36FE3ABA"/>
    <w:rsid w:val="37072BDE"/>
    <w:rsid w:val="37455334"/>
    <w:rsid w:val="37527C32"/>
    <w:rsid w:val="376F0A96"/>
    <w:rsid w:val="37731921"/>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C46D08"/>
    <w:rsid w:val="3BD30423"/>
    <w:rsid w:val="3BDF4895"/>
    <w:rsid w:val="3C6C0B58"/>
    <w:rsid w:val="3CBE41D5"/>
    <w:rsid w:val="3D446B0E"/>
    <w:rsid w:val="3D745844"/>
    <w:rsid w:val="3D953A6B"/>
    <w:rsid w:val="3DBB5979"/>
    <w:rsid w:val="3DD56F21"/>
    <w:rsid w:val="3DEF6699"/>
    <w:rsid w:val="3E1057AF"/>
    <w:rsid w:val="3E6C0DFA"/>
    <w:rsid w:val="3E740322"/>
    <w:rsid w:val="3E7F4380"/>
    <w:rsid w:val="3E8D171B"/>
    <w:rsid w:val="3EA5630D"/>
    <w:rsid w:val="3EBA731B"/>
    <w:rsid w:val="3EE33949"/>
    <w:rsid w:val="3EEACD73"/>
    <w:rsid w:val="3EFB5800"/>
    <w:rsid w:val="3F3B4E59"/>
    <w:rsid w:val="3F6E677C"/>
    <w:rsid w:val="3F712F46"/>
    <w:rsid w:val="3FBC0EF7"/>
    <w:rsid w:val="3FCD2AB9"/>
    <w:rsid w:val="3FCFF788"/>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021C2"/>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357B6A"/>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EE71C5"/>
    <w:rsid w:val="47F00499"/>
    <w:rsid w:val="48015FF5"/>
    <w:rsid w:val="4824043A"/>
    <w:rsid w:val="483820D2"/>
    <w:rsid w:val="48692CD0"/>
    <w:rsid w:val="48AE3D01"/>
    <w:rsid w:val="48B06F92"/>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DF5563"/>
    <w:rsid w:val="4CFB2214"/>
    <w:rsid w:val="4D2C4D26"/>
    <w:rsid w:val="4D335E0E"/>
    <w:rsid w:val="4D4E4EA3"/>
    <w:rsid w:val="4D9A5B1B"/>
    <w:rsid w:val="4DA55D85"/>
    <w:rsid w:val="4DBB20DB"/>
    <w:rsid w:val="4DDC3F22"/>
    <w:rsid w:val="4DE66FB2"/>
    <w:rsid w:val="4DEC6CB8"/>
    <w:rsid w:val="4E1040C7"/>
    <w:rsid w:val="4E1760BF"/>
    <w:rsid w:val="4E30647F"/>
    <w:rsid w:val="4E5F3FC0"/>
    <w:rsid w:val="4EBA03C3"/>
    <w:rsid w:val="4EBC5459"/>
    <w:rsid w:val="4ED94CB0"/>
    <w:rsid w:val="4EEC2ED3"/>
    <w:rsid w:val="4F0E56EA"/>
    <w:rsid w:val="4F2E11BC"/>
    <w:rsid w:val="4F3C4343"/>
    <w:rsid w:val="4F416688"/>
    <w:rsid w:val="4F5620B0"/>
    <w:rsid w:val="4F616EB4"/>
    <w:rsid w:val="4F6654EE"/>
    <w:rsid w:val="4F7379C6"/>
    <w:rsid w:val="4F872BDB"/>
    <w:rsid w:val="4FA033E9"/>
    <w:rsid w:val="4FA743DA"/>
    <w:rsid w:val="4FB3565A"/>
    <w:rsid w:val="4FC4714D"/>
    <w:rsid w:val="503D1C79"/>
    <w:rsid w:val="507A6406"/>
    <w:rsid w:val="50853863"/>
    <w:rsid w:val="508A4590"/>
    <w:rsid w:val="50F1461D"/>
    <w:rsid w:val="50FE5411"/>
    <w:rsid w:val="510B072E"/>
    <w:rsid w:val="511B0BF4"/>
    <w:rsid w:val="51264306"/>
    <w:rsid w:val="512A18AC"/>
    <w:rsid w:val="514E62C9"/>
    <w:rsid w:val="516123CE"/>
    <w:rsid w:val="517624D8"/>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C1326E"/>
    <w:rsid w:val="54D26583"/>
    <w:rsid w:val="55363E67"/>
    <w:rsid w:val="556E6DF7"/>
    <w:rsid w:val="55965CE3"/>
    <w:rsid w:val="559D47CE"/>
    <w:rsid w:val="55BE1959"/>
    <w:rsid w:val="55D02382"/>
    <w:rsid w:val="56232437"/>
    <w:rsid w:val="56541A75"/>
    <w:rsid w:val="568832FC"/>
    <w:rsid w:val="568C4181"/>
    <w:rsid w:val="570725A9"/>
    <w:rsid w:val="5714693E"/>
    <w:rsid w:val="571D0C9C"/>
    <w:rsid w:val="573A16CE"/>
    <w:rsid w:val="579C7F80"/>
    <w:rsid w:val="57B30D7C"/>
    <w:rsid w:val="57F9AC10"/>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41EC4"/>
    <w:rsid w:val="5C8E5C5A"/>
    <w:rsid w:val="5C965E61"/>
    <w:rsid w:val="5CF0089C"/>
    <w:rsid w:val="5CF5796F"/>
    <w:rsid w:val="5D242A11"/>
    <w:rsid w:val="5D9217C2"/>
    <w:rsid w:val="5DAD06BF"/>
    <w:rsid w:val="5DBBFF12"/>
    <w:rsid w:val="5DC92CE9"/>
    <w:rsid w:val="5DE23CB3"/>
    <w:rsid w:val="5DE97EEC"/>
    <w:rsid w:val="5DFA5EB0"/>
    <w:rsid w:val="5E000E4D"/>
    <w:rsid w:val="5E0B583E"/>
    <w:rsid w:val="5E201A7B"/>
    <w:rsid w:val="5EA45884"/>
    <w:rsid w:val="5EBD0484"/>
    <w:rsid w:val="5F2C5C7C"/>
    <w:rsid w:val="5F36141C"/>
    <w:rsid w:val="5FC5273F"/>
    <w:rsid w:val="5FDD0C57"/>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AB223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5D716AA"/>
    <w:rsid w:val="663E1DBA"/>
    <w:rsid w:val="665D0213"/>
    <w:rsid w:val="668506C7"/>
    <w:rsid w:val="669E59F1"/>
    <w:rsid w:val="66A2024B"/>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BEDF527"/>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5AB798"/>
    <w:rsid w:val="6FA14A81"/>
    <w:rsid w:val="6FA3261F"/>
    <w:rsid w:val="6FA59283"/>
    <w:rsid w:val="6FB44BAA"/>
    <w:rsid w:val="6FD78D8A"/>
    <w:rsid w:val="6FFDCF89"/>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3177841"/>
    <w:rsid w:val="733774FE"/>
    <w:rsid w:val="734E594C"/>
    <w:rsid w:val="73617E1B"/>
    <w:rsid w:val="736D7653"/>
    <w:rsid w:val="738035CB"/>
    <w:rsid w:val="73852C46"/>
    <w:rsid w:val="7396335C"/>
    <w:rsid w:val="73F46595"/>
    <w:rsid w:val="73FBB56E"/>
    <w:rsid w:val="74283FA2"/>
    <w:rsid w:val="742C135B"/>
    <w:rsid w:val="74463733"/>
    <w:rsid w:val="748A2F40"/>
    <w:rsid w:val="74D84FF7"/>
    <w:rsid w:val="74F35FB8"/>
    <w:rsid w:val="74F85778"/>
    <w:rsid w:val="75272439"/>
    <w:rsid w:val="758F1E9B"/>
    <w:rsid w:val="75CE266B"/>
    <w:rsid w:val="75D7ECB3"/>
    <w:rsid w:val="76120141"/>
    <w:rsid w:val="766A4299"/>
    <w:rsid w:val="768216BE"/>
    <w:rsid w:val="76C23B43"/>
    <w:rsid w:val="76FD6F97"/>
    <w:rsid w:val="770218E8"/>
    <w:rsid w:val="77472401"/>
    <w:rsid w:val="779469CE"/>
    <w:rsid w:val="77C875A5"/>
    <w:rsid w:val="78A27DF6"/>
    <w:rsid w:val="79285B3A"/>
    <w:rsid w:val="79490B03"/>
    <w:rsid w:val="79625CA9"/>
    <w:rsid w:val="79A91196"/>
    <w:rsid w:val="7A0B32D3"/>
    <w:rsid w:val="7AC13CD3"/>
    <w:rsid w:val="7AE10264"/>
    <w:rsid w:val="7AE4248E"/>
    <w:rsid w:val="7AF47613"/>
    <w:rsid w:val="7B4A207F"/>
    <w:rsid w:val="7B936F45"/>
    <w:rsid w:val="7BA47419"/>
    <w:rsid w:val="7BB10D45"/>
    <w:rsid w:val="7BB44151"/>
    <w:rsid w:val="7BBD3A54"/>
    <w:rsid w:val="7C656A39"/>
    <w:rsid w:val="7CB93996"/>
    <w:rsid w:val="7CBE0F99"/>
    <w:rsid w:val="7D093576"/>
    <w:rsid w:val="7D4E45F1"/>
    <w:rsid w:val="7DFB6D82"/>
    <w:rsid w:val="7DFED4AA"/>
    <w:rsid w:val="7E1D71D1"/>
    <w:rsid w:val="7E246254"/>
    <w:rsid w:val="7E553215"/>
    <w:rsid w:val="7E6D090F"/>
    <w:rsid w:val="7ECC66B2"/>
    <w:rsid w:val="7EEB9CA9"/>
    <w:rsid w:val="7F2914C3"/>
    <w:rsid w:val="7F5F2ED6"/>
    <w:rsid w:val="7F7BD542"/>
    <w:rsid w:val="7FA837EF"/>
    <w:rsid w:val="7FBC9352"/>
    <w:rsid w:val="7FC11EF6"/>
    <w:rsid w:val="7FC36955"/>
    <w:rsid w:val="7FE903A0"/>
    <w:rsid w:val="7FF07065"/>
    <w:rsid w:val="7FF97946"/>
    <w:rsid w:val="7FFE7888"/>
    <w:rsid w:val="8E7B9B6B"/>
    <w:rsid w:val="AFFFAB52"/>
    <w:rsid w:val="BDDD45B9"/>
    <w:rsid w:val="BDDF7127"/>
    <w:rsid w:val="BFA54E51"/>
    <w:rsid w:val="CDF70E8B"/>
    <w:rsid w:val="D3E60E83"/>
    <w:rsid w:val="DB4FE050"/>
    <w:rsid w:val="DFBD6FEF"/>
    <w:rsid w:val="DFDB6FA4"/>
    <w:rsid w:val="E1CFCBEA"/>
    <w:rsid w:val="E1EF5B3B"/>
    <w:rsid w:val="E2DE949D"/>
    <w:rsid w:val="E4C8A119"/>
    <w:rsid w:val="E9EF6F43"/>
    <w:rsid w:val="EDFFE889"/>
    <w:rsid w:val="EEE74D43"/>
    <w:rsid w:val="EF7BA4A3"/>
    <w:rsid w:val="EFFF96E9"/>
    <w:rsid w:val="F4B59182"/>
    <w:rsid w:val="F997E54E"/>
    <w:rsid w:val="FB4C53D1"/>
    <w:rsid w:val="FBEF8F85"/>
    <w:rsid w:val="FCE5F63C"/>
    <w:rsid w:val="FD6FC958"/>
    <w:rsid w:val="FFFA960E"/>
    <w:rsid w:val="FFFEDE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Lines="50" w:line="578" w:lineRule="auto"/>
      <w:jc w:val="left"/>
      <w:outlineLvl w:val="0"/>
    </w:pPr>
    <w:rPr>
      <w:rFonts w:ascii="Times New Roman" w:hAnsi="Times New Roman" w:eastAsia="仿宋" w:cs="Times New Roman"/>
      <w:b/>
      <w:bCs/>
      <w:kern w:val="44"/>
      <w:sz w:val="36"/>
      <w:szCs w:val="44"/>
    </w:rPr>
  </w:style>
  <w:style w:type="paragraph" w:styleId="3">
    <w:name w:val="heading 2"/>
    <w:basedOn w:val="1"/>
    <w:next w:val="1"/>
    <w:link w:val="15"/>
    <w:semiHidden/>
    <w:unhideWhenUsed/>
    <w:qFormat/>
    <w:uiPriority w:val="9"/>
    <w:pPr>
      <w:numPr>
        <w:ilvl w:val="1"/>
        <w:numId w:val="1"/>
      </w:numPr>
      <w:spacing w:line="416" w:lineRule="auto"/>
      <w:outlineLvl w:val="1"/>
    </w:pPr>
    <w:rPr>
      <w:rFonts w:ascii="Calibri Light" w:hAnsi="Calibri Light" w:eastAsia="宋体" w:cs="Times New Roman"/>
      <w:b/>
      <w:bCs/>
      <w:sz w:val="28"/>
      <w:szCs w:val="32"/>
    </w:rPr>
  </w:style>
  <w:style w:type="paragraph" w:styleId="4">
    <w:name w:val="heading 3"/>
    <w:basedOn w:val="1"/>
    <w:next w:val="1"/>
    <w:semiHidden/>
    <w:unhideWhenUsed/>
    <w:qFormat/>
    <w:uiPriority w:val="9"/>
    <w:pPr>
      <w:keepNext/>
      <w:keepLines/>
      <w:numPr>
        <w:ilvl w:val="2"/>
        <w:numId w:val="1"/>
      </w:numPr>
      <w:spacing w:beforeLines="50" w:afterLines="50" w:line="416" w:lineRule="auto"/>
      <w:outlineLvl w:val="2"/>
    </w:pPr>
    <w:rPr>
      <w:rFonts w:ascii="宋体" w:hAnsi="宋体" w:eastAsia="宋体"/>
      <w:b/>
      <w:bCs/>
      <w:sz w:val="32"/>
    </w:rPr>
  </w:style>
  <w:style w:type="paragraph" w:styleId="5">
    <w:name w:val="heading 4"/>
    <w:basedOn w:val="1"/>
    <w:next w:val="1"/>
    <w:semiHidden/>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4"/>
    <w:unhideWhenUsed/>
    <w:qFormat/>
    <w:uiPriority w:val="99"/>
    <w:rPr>
      <w:rFonts w:cstheme="minorBidi"/>
      <w:kern w:val="2"/>
      <w:sz w:val="18"/>
      <w:szCs w:val="18"/>
    </w:rPr>
  </w:style>
  <w:style w:type="paragraph" w:styleId="8">
    <w:name w:val="footer"/>
    <w:basedOn w:val="1"/>
    <w:link w:val="16"/>
    <w:qFormat/>
    <w:uiPriority w:val="99"/>
    <w:pPr>
      <w:tabs>
        <w:tab w:val="center" w:pos="4153"/>
        <w:tab w:val="right" w:pos="8306"/>
      </w:tabs>
      <w:snapToGrid w:val="0"/>
      <w:jc w:val="left"/>
    </w:pPr>
    <w:rPr>
      <w:rFonts w:cstheme="minorBidi"/>
      <w:kern w:val="2"/>
      <w:sz w:val="18"/>
      <w:szCs w:val="18"/>
    </w:rPr>
  </w:style>
  <w:style w:type="paragraph" w:styleId="9">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0">
    <w:name w:val="Normal (Web)"/>
    <w:basedOn w:val="1"/>
    <w:semiHidden/>
    <w:unhideWhenUsed/>
    <w:qFormat/>
    <w:uiPriority w:val="99"/>
    <w:pPr>
      <w:spacing w:beforeAutospacing="1" w:afterAutospacing="1"/>
      <w:jc w:val="left"/>
    </w:pPr>
    <w:rPr>
      <w:rFonts w:cs="Times New Roman"/>
    </w:rPr>
  </w:style>
  <w:style w:type="table" w:styleId="12">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customStyle="1" w:styleId="15">
    <w:name w:val="标题 2 Char"/>
    <w:link w:val="3"/>
    <w:qFormat/>
    <w:uiPriority w:val="0"/>
    <w:rPr>
      <w:rFonts w:ascii="Calibri Light" w:hAnsi="Calibri Light" w:eastAsia="宋体" w:cs="Times New Roman"/>
      <w:b/>
      <w:bCs/>
      <w:sz w:val="28"/>
      <w:szCs w:val="32"/>
    </w:rPr>
  </w:style>
  <w:style w:type="character" w:customStyle="1" w:styleId="16">
    <w:name w:val="页脚 Char"/>
    <w:basedOn w:val="13"/>
    <w:link w:val="8"/>
    <w:qFormat/>
    <w:uiPriority w:val="99"/>
    <w:rPr>
      <w:rFonts w:asciiTheme="minorHAnsi" w:hAnsiTheme="minorHAnsi" w:eastAsiaTheme="minorEastAsia" w:cstheme="minorBidi"/>
      <w:sz w:val="18"/>
      <w:szCs w:val="18"/>
      <w:lang w:val="en-US" w:eastAsia="zh-CN" w:bidi="ar-SA"/>
    </w:rPr>
  </w:style>
  <w:style w:type="character" w:customStyle="1" w:styleId="17">
    <w:name w:val="页眉 Char"/>
    <w:basedOn w:val="13"/>
    <w:link w:val="9"/>
    <w:qFormat/>
    <w:uiPriority w:val="0"/>
    <w:rPr>
      <w:rFonts w:asciiTheme="minorHAnsi" w:hAnsiTheme="minorHAnsi" w:eastAsiaTheme="minorEastAsia" w:cstheme="minorBidi"/>
      <w:sz w:val="18"/>
      <w:szCs w:val="18"/>
      <w:lang w:val="en-US" w:eastAsia="zh-CN" w:bidi="ar-SA"/>
    </w:rPr>
  </w:style>
  <w:style w:type="character" w:customStyle="1" w:styleId="18">
    <w:name w:val="font11"/>
    <w:basedOn w:val="13"/>
    <w:qFormat/>
    <w:uiPriority w:val="0"/>
    <w:rPr>
      <w:rFonts w:hint="eastAsia" w:ascii="宋体" w:hAnsi="宋体" w:eastAsia="宋体" w:cs="宋体"/>
      <w:color w:val="000000"/>
      <w:sz w:val="20"/>
      <w:szCs w:val="20"/>
      <w:u w:val="none"/>
      <w:lang w:val="en-US" w:eastAsia="zh-CN" w:bidi="ar-SA"/>
    </w:rPr>
  </w:style>
  <w:style w:type="character" w:customStyle="1" w:styleId="19">
    <w:name w:val="font01"/>
    <w:basedOn w:val="13"/>
    <w:qFormat/>
    <w:uiPriority w:val="0"/>
    <w:rPr>
      <w:rFonts w:hint="eastAsia" w:ascii="宋体" w:hAnsi="宋体" w:eastAsia="宋体" w:cs="宋体"/>
      <w:color w:val="000000"/>
      <w:sz w:val="22"/>
      <w:szCs w:val="22"/>
      <w:u w:val="none"/>
      <w:lang w:val="en-US" w:eastAsia="zh-CN" w:bidi="ar-SA"/>
    </w:rPr>
  </w:style>
  <w:style w:type="character" w:customStyle="1" w:styleId="20">
    <w:name w:val="font41"/>
    <w:basedOn w:val="13"/>
    <w:qFormat/>
    <w:uiPriority w:val="0"/>
    <w:rPr>
      <w:rFonts w:hint="eastAsia" w:ascii="宋体" w:hAnsi="宋体" w:eastAsia="宋体" w:cs="宋体"/>
      <w:color w:val="000000"/>
      <w:sz w:val="24"/>
      <w:szCs w:val="24"/>
      <w:u w:val="none"/>
      <w:lang w:val="en-US" w:eastAsia="zh-CN" w:bidi="ar-SA"/>
    </w:rPr>
  </w:style>
  <w:style w:type="character" w:customStyle="1" w:styleId="21">
    <w:name w:val="font3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2">
    <w:name w:val="font9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3">
    <w:name w:val="font51"/>
    <w:basedOn w:val="13"/>
    <w:qFormat/>
    <w:uiPriority w:val="0"/>
    <w:rPr>
      <w:rFonts w:hint="eastAsia" w:ascii="宋体" w:hAnsi="宋体" w:eastAsia="宋体" w:cs="宋体"/>
      <w:color w:val="000000"/>
      <w:sz w:val="24"/>
      <w:szCs w:val="24"/>
      <w:u w:val="none"/>
      <w:lang w:val="en-US" w:eastAsia="zh-CN" w:bidi="ar-SA"/>
    </w:rPr>
  </w:style>
  <w:style w:type="character" w:customStyle="1" w:styleId="24">
    <w:name w:val="批注框文本 Char"/>
    <w:basedOn w:val="13"/>
    <w:link w:val="7"/>
    <w:semiHidden/>
    <w:qFormat/>
    <w:uiPriority w:val="99"/>
    <w:rPr>
      <w:rFonts w:asciiTheme="minorHAnsi" w:hAnsiTheme="minorHAnsi" w:eastAsiaTheme="minorEastAsia" w:cstheme="minorBidi"/>
      <w:sz w:val="18"/>
      <w:szCs w:val="18"/>
      <w:lang w:val="en-US" w:eastAsia="zh-CN" w:bidi="ar-SA"/>
    </w:rPr>
  </w:style>
  <w:style w:type="character" w:customStyle="1" w:styleId="25">
    <w:name w:val="font71"/>
    <w:basedOn w:val="13"/>
    <w:qFormat/>
    <w:uiPriority w:val="0"/>
    <w:rPr>
      <w:rFonts w:ascii="Arial" w:hAnsi="Arial" w:cs="Arial"/>
      <w:color w:val="000000"/>
      <w:sz w:val="20"/>
      <w:szCs w:val="20"/>
      <w:u w:val="none"/>
    </w:rPr>
  </w:style>
  <w:style w:type="character" w:customStyle="1" w:styleId="26">
    <w:name w:val="font61"/>
    <w:basedOn w:val="13"/>
    <w:qFormat/>
    <w:uiPriority w:val="0"/>
    <w:rPr>
      <w:rFonts w:hint="eastAsia" w:ascii="宋体" w:hAnsi="宋体" w:eastAsia="宋体" w:cs="宋体"/>
      <w:color w:val="000000"/>
      <w:sz w:val="20"/>
      <w:szCs w:val="20"/>
      <w:u w:val="none"/>
    </w:rPr>
  </w:style>
  <w:style w:type="character" w:customStyle="1" w:styleId="27">
    <w:name w:val="font21"/>
    <w:basedOn w:val="13"/>
    <w:qFormat/>
    <w:uiPriority w:val="0"/>
    <w:rPr>
      <w:rFonts w:hint="eastAsia" w:ascii="宋体" w:hAnsi="宋体" w:eastAsia="宋体" w:cs="宋体"/>
      <w:color w:val="000000"/>
      <w:sz w:val="20"/>
      <w:szCs w:val="20"/>
      <w:u w:val="none"/>
    </w:rPr>
  </w:style>
  <w:style w:type="paragraph" w:customStyle="1" w:styleId="28">
    <w:name w:val="p1"/>
    <w:basedOn w:val="1"/>
    <w:qFormat/>
    <w:uiPriority w:val="0"/>
    <w:pPr>
      <w:jc w:val="left"/>
    </w:pPr>
    <w:rPr>
      <w:rFonts w:ascii="Helvetica" w:hAnsi="Helvetica" w:eastAsia="Helvetica" w:cs="Times New Roman"/>
      <w:color w:val="000000"/>
      <w:sz w:val="30"/>
      <w:szCs w:val="3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61</Pages>
  <Words>4370</Words>
  <Characters>24914</Characters>
  <Lines>207</Lines>
  <Paragraphs>58</Paragraphs>
  <TotalTime>2</TotalTime>
  <ScaleCrop>false</ScaleCrop>
  <LinksUpToDate>false</LinksUpToDate>
  <CharactersWithSpaces>29226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2023-08-07T15:55:00Z</dcterms:created>
  <dc:creator>王明新TIAD</dc:creator>
  <cp:lastModifiedBy>晓玉</cp:lastModifiedBy>
  <cp:lastPrinted>2023-08-07T09:00:00Z</cp:lastPrinted>
  <dcterms:modified xsi:type="dcterms:W3CDTF">2026-01-13T18:06:17Z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4DD241A32C2A74221E599C68814E8004_43</vt:lpwstr>
  </property>
  <property fmtid="{D5CDD505-2E9C-101B-9397-08002B2CF9AE}" pid="4" name="KSOTemplateUUID">
    <vt:lpwstr>v1.0_mb_S7ajbG3IpAnL1wSthNCxfw==</vt:lpwstr>
  </property>
  <property fmtid="{D5CDD505-2E9C-101B-9397-08002B2CF9AE}" pid="5" name="KSOTemplateDocerSaveRecord">
    <vt:lpwstr>eyJoZGlkIjoiODczM2M4Y2Y4MWZjZmRiODkyNDdiNmU1ZGM2NGRkOWEiLCJ1c2VySWQiOiI1OTM0MzU5MTkifQ==</vt:lpwstr>
  </property>
</Properties>
</file>