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02DCF">
      <w:pPr>
        <w:keepNext w:val="0"/>
        <w:keepLines w:val="0"/>
        <w:pageBreakBefore w:val="0"/>
        <w:widowControl w:val="0"/>
        <w:kinsoku/>
        <w:wordWrap/>
        <w:overflowPunct/>
        <w:topLinePunct w:val="0"/>
        <w:autoSpaceDE/>
        <w:autoSpaceDN/>
        <w:bidi w:val="0"/>
        <w:adjustRightInd/>
        <w:snapToGrid/>
        <w:spacing w:line="980" w:lineRule="exact"/>
        <w:jc w:val="center"/>
        <w:textAlignment w:val="auto"/>
        <w:rPr>
          <w:rFonts w:hint="default" w:ascii="Times New Roman" w:hAnsi="Times New Roman" w:eastAsia="方正小标宋简体" w:cs="Times New Roman"/>
          <w:color w:val="000000" w:themeColor="text1"/>
          <w:w w:val="90"/>
          <w:kern w:val="0"/>
          <w:sz w:val="32"/>
          <w:szCs w:val="32"/>
          <w14:textFill>
            <w14:solidFill>
              <w14:schemeClr w14:val="tx1"/>
            </w14:solidFill>
          </w14:textFill>
        </w:rPr>
      </w:pPr>
    </w:p>
    <w:p w14:paraId="6E4BF246">
      <w:pPr>
        <w:keepNext w:val="0"/>
        <w:keepLines w:val="0"/>
        <w:pageBreakBefore w:val="0"/>
        <w:kinsoku/>
        <w:wordWrap/>
        <w:overflowPunct/>
        <w:autoSpaceDE/>
        <w:autoSpaceDN/>
        <w:bidi w:val="0"/>
        <w:spacing w:line="560" w:lineRule="exact"/>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0" w:name="_GoBack"/>
      <w:r>
        <w:rPr>
          <w:rFonts w:hint="default" w:ascii="Times New Roman" w:hAnsi="Times New Roman" w:eastAsia="仿宋_GB2312" w:cs="Times New Roman"/>
          <w:color w:val="000000" w:themeColor="text1"/>
          <w:sz w:val="32"/>
          <w:szCs w:val="32"/>
          <w14:textFill>
            <w14:solidFill>
              <w14:schemeClr w14:val="tx1"/>
            </w14:solidFill>
          </w14:textFill>
        </w:rPr>
        <w:t>东丽政发〔20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号</w:t>
      </w:r>
    </w:p>
    <w:bookmarkEnd w:id="0"/>
    <w:p w14:paraId="533DC7FA">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5F322FFB">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238DA0EA">
      <w:pPr>
        <w:keepNext w:val="0"/>
        <w:keepLines w:val="0"/>
        <w:pageBreakBefore w:val="0"/>
        <w:widowControl w:val="0"/>
        <w:shd w:val="clear" w:color="auto" w:fill="auto"/>
        <w:kinsoku/>
        <w:wordWrap/>
        <w:overflowPunct/>
        <w:topLinePunct w:val="0"/>
        <w:autoSpaceDE/>
        <w:autoSpaceDN/>
        <w:bidi w:val="0"/>
        <w:spacing w:line="560" w:lineRule="exact"/>
        <w:ind w:right="0"/>
        <w:jc w:val="center"/>
        <w:textAlignment w:val="auto"/>
        <w:rPr>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t>东丽区</w:t>
      </w:r>
      <w:r>
        <w:rPr>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人民政府</w:t>
      </w:r>
      <w:r>
        <w:rPr>
          <w:rFonts w:hint="eastAsia"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关于</w:t>
      </w:r>
      <w:r>
        <w:rPr>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印发东丽区推进服务业</w:t>
      </w:r>
    </w:p>
    <w:p w14:paraId="7A51E65E">
      <w:pPr>
        <w:keepNext w:val="0"/>
        <w:keepLines w:val="0"/>
        <w:pageBreakBefore w:val="0"/>
        <w:widowControl w:val="0"/>
        <w:shd w:val="clear" w:color="auto" w:fill="auto"/>
        <w:kinsoku/>
        <w:wordWrap/>
        <w:overflowPunct/>
        <w:topLinePunct w:val="0"/>
        <w:autoSpaceDE/>
        <w:autoSpaceDN/>
        <w:bidi w:val="0"/>
        <w:spacing w:line="560" w:lineRule="exact"/>
        <w:ind w:right="0"/>
        <w:jc w:val="center"/>
        <w:textAlignment w:val="auto"/>
        <w:rPr>
          <w:rFonts w:hint="default" w:ascii="Times New Roman" w:hAnsi="Times New Roman" w:eastAsia="方正小标宋简体" w:cs="Times New Roman"/>
          <w:color w:val="000000" w:themeColor="text1"/>
          <w:sz w:val="44"/>
          <w:szCs w:val="44"/>
          <w:highlight w:val="none"/>
          <w:lang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扩能提质工作措施</w:t>
      </w:r>
      <w: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t>的</w:t>
      </w:r>
      <w:r>
        <w:rPr>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通知</w:t>
      </w:r>
    </w:p>
    <w:p w14:paraId="033EB958">
      <w:pPr>
        <w:keepNext w:val="0"/>
        <w:keepLines w:val="0"/>
        <w:pageBreakBefore w:val="0"/>
        <w:widowControl w:val="0"/>
        <w:shd w:val="clear" w:color="auto" w:fill="auto"/>
        <w:tabs>
          <w:tab w:val="left" w:pos="2548"/>
        </w:tabs>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37026C4C">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各</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有关</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单位</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w:t>
      </w:r>
    </w:p>
    <w:p w14:paraId="0C7D650C">
      <w:pPr>
        <w:pStyle w:val="5"/>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cs="Times New Roman"/>
          <w:snapToGrid w:val="0"/>
          <w:color w:val="000000" w:themeColor="text1"/>
          <w:sz w:val="32"/>
          <w:szCs w:val="32"/>
          <w:highlight w:val="none"/>
          <w:lang w:val="en-US" w:eastAsia="zh-CN"/>
          <w14:textFill>
            <w14:solidFill>
              <w14:schemeClr w14:val="tx1"/>
            </w14:solidFill>
          </w14:textFill>
        </w:rPr>
        <w:t>现将《东丽区推进服务业扩能提质工作措施》印发给你们，请遵照执行。</w:t>
      </w:r>
    </w:p>
    <w:p w14:paraId="30A607D7">
      <w:pPr>
        <w:keepNext w:val="0"/>
        <w:keepLines w:val="0"/>
        <w:pageBreakBefore w:val="0"/>
        <w:widowControl w:val="0"/>
        <w:shd w:val="clear" w:color="auto" w:fill="auto"/>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14:paraId="234F9C97">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14:paraId="0F2B703D">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14:paraId="72636C57">
      <w:pPr>
        <w:pStyle w:val="5"/>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eastAsia" w:ascii="Times New Roman" w:hAnsi="Times New Roman" w:cs="Times New Roman"/>
          <w:color w:val="000000" w:themeColor="text1"/>
          <w:kern w:val="0"/>
          <w:sz w:val="32"/>
          <w:szCs w:val="32"/>
          <w:highlight w:val="none"/>
          <w:lang w:val="en-US" w:eastAsia="zh-CN"/>
          <w14:textFill>
            <w14:solidFill>
              <w14:schemeClr w14:val="tx1"/>
            </w14:solidFill>
          </w14:textFill>
        </w:rPr>
        <w:t>天津市</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东丽区人民政府</w:t>
      </w:r>
    </w:p>
    <w:p w14:paraId="36F1FB79">
      <w:pPr>
        <w:pStyle w:val="5"/>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cs="Times New Roman"/>
          <w:snapToGrid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202</w:t>
      </w:r>
      <w:r>
        <w:rPr>
          <w:rFonts w:hint="default" w:ascii="Times New Roman" w:hAnsi="Times New Roman" w:cs="Times New Roman"/>
          <w:color w:val="000000" w:themeColor="text1"/>
          <w:kern w:val="0"/>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年</w:t>
      </w:r>
      <w:r>
        <w:rPr>
          <w:rFonts w:hint="default" w:ascii="Times New Roman" w:hAnsi="Times New Roman" w:cs="Times New Roman"/>
          <w:color w:val="000000" w:themeColor="text1"/>
          <w:kern w:val="0"/>
          <w:sz w:val="32"/>
          <w:szCs w:val="32"/>
          <w:highlight w:val="none"/>
          <w:lang w:val="en" w:eastAsia="zh-CN"/>
          <w14:textFill>
            <w14:solidFill>
              <w14:schemeClr w14:val="tx1"/>
            </w14:solidFill>
          </w14:textFill>
        </w:rPr>
        <w:t>7</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月</w:t>
      </w:r>
      <w:r>
        <w:rPr>
          <w:rFonts w:hint="default" w:ascii="Times New Roman" w:hAnsi="Times New Roman" w:cs="Times New Roman"/>
          <w:color w:val="000000" w:themeColor="text1"/>
          <w:kern w:val="0"/>
          <w:sz w:val="32"/>
          <w:szCs w:val="32"/>
          <w:highlight w:val="none"/>
          <w:lang w:val="en" w:eastAsia="zh-CN"/>
          <w14:textFill>
            <w14:solidFill>
              <w14:schemeClr w14:val="tx1"/>
            </w14:solidFill>
          </w14:textFill>
        </w:rPr>
        <w:t>2</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日</w:t>
      </w:r>
    </w:p>
    <w:p w14:paraId="7C7954F9">
      <w:pPr>
        <w:pStyle w:val="5"/>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（此件主动公开）</w:t>
      </w:r>
    </w:p>
    <w:p w14:paraId="2655D4A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right="0"/>
        <w:jc w:val="center"/>
        <w:textAlignment w:val="auto"/>
        <w:rPr>
          <w:rFonts w:hint="default" w:ascii="Times New Roman" w:hAnsi="Times New Roman" w:eastAsia="方正小标宋简体" w:cs="Times New Roman"/>
          <w:b w:val="0"/>
          <w:bCs w:val="0"/>
          <w:i w:val="0"/>
          <w:iCs w:val="0"/>
          <w:caps w:val="0"/>
          <w:strike w:val="0"/>
          <w:color w:val="000000" w:themeColor="text1"/>
          <w:spacing w:val="0"/>
          <w:sz w:val="44"/>
          <w:szCs w:val="44"/>
          <w:highlight w:val="none"/>
          <w:u w:val="none"/>
          <w:shd w:val="clear" w:color="auto" w:fill="auto"/>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br w:type="page"/>
      </w:r>
      <w:r>
        <w:rPr>
          <w:rFonts w:hint="default" w:ascii="Times New Roman" w:hAnsi="Times New Roman" w:eastAsia="方正小标宋简体" w:cs="Times New Roman"/>
          <w:b w:val="0"/>
          <w:bCs w:val="0"/>
          <w:i w:val="0"/>
          <w:iCs w:val="0"/>
          <w:caps w:val="0"/>
          <w:strike w:val="0"/>
          <w:color w:val="000000" w:themeColor="text1"/>
          <w:spacing w:val="0"/>
          <w:sz w:val="44"/>
          <w:szCs w:val="44"/>
          <w:highlight w:val="none"/>
          <w:u w:val="none"/>
          <w:shd w:val="clear" w:color="auto" w:fill="auto"/>
          <w:lang w:val="en-US" w:eastAsia="zh-CN"/>
          <w14:textFill>
            <w14:solidFill>
              <w14:schemeClr w14:val="tx1"/>
            </w14:solidFill>
          </w14:textFill>
        </w:rPr>
        <w:t>东丽区推</w:t>
      </w:r>
      <w:r>
        <w:rPr>
          <w:rFonts w:hint="eastAsia" w:ascii="Times New Roman" w:hAnsi="Times New Roman" w:eastAsia="方正小标宋简体" w:cs="Times New Roman"/>
          <w:b w:val="0"/>
          <w:bCs w:val="0"/>
          <w:i w:val="0"/>
          <w:iCs w:val="0"/>
          <w:caps w:val="0"/>
          <w:strike w:val="0"/>
          <w:color w:val="000000" w:themeColor="text1"/>
          <w:spacing w:val="0"/>
          <w:sz w:val="44"/>
          <w:szCs w:val="44"/>
          <w:highlight w:val="none"/>
          <w:u w:val="none"/>
          <w:shd w:val="clear" w:color="auto" w:fill="auto"/>
          <w:lang w:val="en-US" w:eastAsia="zh-CN"/>
          <w14:textFill>
            <w14:solidFill>
              <w14:schemeClr w14:val="tx1"/>
            </w14:solidFill>
          </w14:textFill>
        </w:rPr>
        <w:t>进</w:t>
      </w:r>
      <w:r>
        <w:rPr>
          <w:rFonts w:hint="default" w:ascii="Times New Roman" w:hAnsi="Times New Roman" w:eastAsia="方正小标宋简体" w:cs="Times New Roman"/>
          <w:b w:val="0"/>
          <w:bCs w:val="0"/>
          <w:i w:val="0"/>
          <w:iCs w:val="0"/>
          <w:caps w:val="0"/>
          <w:strike w:val="0"/>
          <w:color w:val="000000" w:themeColor="text1"/>
          <w:spacing w:val="0"/>
          <w:sz w:val="44"/>
          <w:szCs w:val="44"/>
          <w:highlight w:val="none"/>
          <w:u w:val="none"/>
          <w:shd w:val="clear" w:color="auto" w:fill="auto"/>
          <w:lang w:val="en-US" w:eastAsia="zh-CN"/>
          <w14:textFill>
            <w14:solidFill>
              <w14:schemeClr w14:val="tx1"/>
            </w14:solidFill>
          </w14:textFill>
        </w:rPr>
        <w:t>服务业扩能提质</w:t>
      </w:r>
      <w:r>
        <w:rPr>
          <w:rFonts w:hint="eastAsia" w:ascii="Times New Roman" w:hAnsi="Times New Roman" w:eastAsia="方正小标宋简体" w:cs="Times New Roman"/>
          <w:b w:val="0"/>
          <w:bCs w:val="0"/>
          <w:i w:val="0"/>
          <w:iCs w:val="0"/>
          <w:caps w:val="0"/>
          <w:strike w:val="0"/>
          <w:color w:val="000000" w:themeColor="text1"/>
          <w:spacing w:val="0"/>
          <w:sz w:val="44"/>
          <w:szCs w:val="44"/>
          <w:highlight w:val="none"/>
          <w:u w:val="none"/>
          <w:shd w:val="clear" w:color="auto" w:fill="auto"/>
          <w:lang w:val="en-US" w:eastAsia="zh-CN"/>
          <w14:textFill>
            <w14:solidFill>
              <w14:schemeClr w14:val="tx1"/>
            </w14:solidFill>
          </w14:textFill>
        </w:rPr>
        <w:t>工作</w:t>
      </w:r>
      <w:r>
        <w:rPr>
          <w:rFonts w:hint="default" w:ascii="Times New Roman" w:hAnsi="Times New Roman" w:eastAsia="方正小标宋简体" w:cs="Times New Roman"/>
          <w:b w:val="0"/>
          <w:bCs w:val="0"/>
          <w:i w:val="0"/>
          <w:iCs w:val="0"/>
          <w:caps w:val="0"/>
          <w:strike w:val="0"/>
          <w:color w:val="000000" w:themeColor="text1"/>
          <w:spacing w:val="0"/>
          <w:sz w:val="44"/>
          <w:szCs w:val="44"/>
          <w:highlight w:val="none"/>
          <w:u w:val="none"/>
          <w:shd w:val="clear" w:color="auto" w:fill="auto"/>
          <w:lang w:val="en-US" w:eastAsia="zh-CN"/>
          <w14:textFill>
            <w14:solidFill>
              <w14:schemeClr w14:val="tx1"/>
            </w14:solidFill>
          </w14:textFill>
        </w:rPr>
        <w:t>措施</w:t>
      </w:r>
    </w:p>
    <w:p w14:paraId="10D6A9AA">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黑体" w:cs="Times New Roman"/>
          <w:b w:val="0"/>
          <w:bCs w:val="0"/>
          <w:color w:val="000000" w:themeColor="text1"/>
          <w:sz w:val="32"/>
          <w:szCs w:val="32"/>
          <w:highlight w:val="none"/>
          <w:u w:val="none"/>
          <w:shd w:val="clear" w:color="auto" w:fill="auto"/>
          <w:lang w:val="en" w:eastAsia="zh-CN"/>
          <w14:textFill>
            <w14:solidFill>
              <w14:schemeClr w14:val="tx1"/>
            </w14:solidFill>
          </w14:textFill>
        </w:rPr>
      </w:pPr>
    </w:p>
    <w:p w14:paraId="5CC31181">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为全面贯彻落实习近平总书记就服务业发展作出的重要指示和全国服务业大会精神，根据《</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天津市</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推</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动</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服务业扩能提质的</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若干措施</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津政发〔2026〕9号</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，结合本</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区</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实际，制定如下措施。</w:t>
      </w:r>
    </w:p>
    <w:p w14:paraId="5102204B">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黑体"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highlight w:val="none"/>
          <w:u w:val="none"/>
          <w:shd w:val="clear" w:color="auto" w:fill="auto"/>
          <w:lang w:val="en" w:eastAsia="zh-CN"/>
          <w14:textFill>
            <w14:solidFill>
              <w14:schemeClr w14:val="tx1"/>
            </w14:solidFill>
          </w14:textFill>
        </w:rPr>
        <w:t>一、</w:t>
      </w:r>
      <w:r>
        <w:rPr>
          <w:rFonts w:hint="eastAsia" w:ascii="Times New Roman" w:hAnsi="Times New Roman" w:eastAsia="黑体" w:cs="Times New Roman"/>
          <w:b w:val="0"/>
          <w:bCs w:val="0"/>
          <w:color w:val="000000" w:themeColor="text1"/>
          <w:sz w:val="32"/>
          <w:szCs w:val="32"/>
          <w:highlight w:val="none"/>
          <w:u w:val="none"/>
          <w:shd w:val="clear" w:color="auto" w:fill="auto"/>
          <w:lang w:val="en-US" w:eastAsia="zh-CN"/>
          <w14:textFill>
            <w14:solidFill>
              <w14:schemeClr w14:val="tx1"/>
            </w14:solidFill>
          </w14:textFill>
        </w:rPr>
        <w:t>支持</w:t>
      </w:r>
      <w:r>
        <w:rPr>
          <w:rFonts w:hint="default" w:ascii="Times New Roman" w:hAnsi="Times New Roman" w:eastAsia="黑体" w:cs="Times New Roman"/>
          <w:b w:val="0"/>
          <w:bCs w:val="0"/>
          <w:color w:val="000000" w:themeColor="text1"/>
          <w:sz w:val="32"/>
          <w:szCs w:val="32"/>
          <w:highlight w:val="none"/>
          <w:u w:val="none"/>
          <w:shd w:val="clear" w:color="auto" w:fill="auto"/>
          <w:lang w:val="en" w:eastAsia="zh-CN"/>
          <w14:textFill>
            <w14:solidFill>
              <w14:schemeClr w14:val="tx1"/>
            </w14:solidFill>
          </w14:textFill>
        </w:rPr>
        <w:t>生产性服务业</w:t>
      </w:r>
      <w:r>
        <w:rPr>
          <w:rFonts w:hint="eastAsia" w:ascii="Times New Roman" w:hAnsi="Times New Roman" w:eastAsia="黑体" w:cs="Times New Roman"/>
          <w:b w:val="0"/>
          <w:bCs w:val="0"/>
          <w:color w:val="000000" w:themeColor="text1"/>
          <w:sz w:val="32"/>
          <w:szCs w:val="32"/>
          <w:highlight w:val="none"/>
          <w:u w:val="none"/>
          <w:shd w:val="clear" w:color="auto" w:fill="auto"/>
          <w:lang w:val="en-US" w:eastAsia="zh-CN"/>
          <w14:textFill>
            <w14:solidFill>
              <w14:schemeClr w14:val="tx1"/>
            </w14:solidFill>
          </w14:textFill>
        </w:rPr>
        <w:t>专业化升级</w:t>
      </w:r>
    </w:p>
    <w:p w14:paraId="0ED6A885">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（一）</w:t>
      </w:r>
      <w:r>
        <w:rPr>
          <w:rFonts w:hint="default" w:ascii="Times New Roman" w:hAnsi="Times New Roman" w:eastAsia="楷体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做强做大检验检测集群</w:t>
      </w:r>
    </w:p>
    <w:p w14:paraId="5418E03D">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巩固检验检测产业</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领先</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地位</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服务中汽中心、华测检测等龙头企业做大做强，</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推动</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中汽研新能源检测基地二期</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艾特北方基地等项目</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建设</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落地，完善</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“汽车+环境+食品+新兴领域”检测</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集群</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，与高校院所共建质谱技术研究中心和实验室，</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扩大产业集聚效应</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。2030年</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检验检测产业营收突破70</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亿元。（</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科技局、投促局、经开区</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77C3B7A8">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（二）</w:t>
      </w:r>
      <w:r>
        <w:rPr>
          <w:rFonts w:hint="default" w:ascii="Times New Roman" w:hAnsi="Times New Roman" w:eastAsia="楷体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提升</w:t>
      </w:r>
      <w:r>
        <w:rPr>
          <w:rFonts w:hint="default" w:ascii="Times New Roman" w:hAnsi="Times New Roman" w:eastAsia="楷体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现代物流</w:t>
      </w:r>
      <w:r>
        <w:rPr>
          <w:rFonts w:hint="default" w:ascii="Times New Roman" w:hAnsi="Times New Roman" w:eastAsia="楷体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服务</w:t>
      </w:r>
      <w:r>
        <w:rPr>
          <w:rFonts w:hint="default" w:ascii="Times New Roman" w:hAnsi="Times New Roman" w:eastAsia="楷体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水平</w:t>
      </w:r>
    </w:p>
    <w:p w14:paraId="6FA66E4D">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加快构建河海联运、航空货运、冷链物流协同发展的现代物流服务体系。整合军粮城</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站</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及周边铁路资源，打造港外物流转运基地。加快冷链物流、智慧仓储和多式联运转运设施建设，推进玉湖冷链枢纽工程</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建设</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，做强全品类冷链业务。2030年</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交通运输业营收突破90</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亿元。（</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运管局，</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军粮城街、临空经济区</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35CE03AC">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（三）推动智能网联汽车技术跃升</w:t>
      </w:r>
    </w:p>
    <w:p w14:paraId="75CE17C6">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仿宋_GB2312" w:cs="Times New Roman"/>
          <w:b w:val="0"/>
          <w:bCs w:val="0"/>
          <w:snapToGrid w:val="0"/>
          <w:color w:val="000000" w:themeColor="text1"/>
          <w:sz w:val="32"/>
          <w:szCs w:val="30"/>
          <w:highlight w:val="none"/>
          <w:shd w:val="clear" w:color="auto" w:fill="auto"/>
          <w:lang w:val="en-US" w:eastAsia="zh-CN"/>
          <w14:textFill>
            <w14:solidFill>
              <w14:schemeClr w14:val="tx1"/>
            </w14:solidFill>
          </w14:textFill>
        </w:rPr>
        <w:t>3.</w:t>
      </w:r>
      <w:r>
        <w:rPr>
          <w:rFonts w:hint="default" w:ascii="Times New Roman" w:hAnsi="Times New Roman" w:eastAsia="仿宋_GB2312" w:cs="Times New Roman"/>
          <w:b w:val="0"/>
          <w:bCs w:val="0"/>
          <w:snapToGrid w:val="0"/>
          <w:color w:val="000000" w:themeColor="text1"/>
          <w:sz w:val="32"/>
          <w:szCs w:val="30"/>
          <w:highlight w:val="none"/>
          <w:shd w:val="clear" w:color="auto" w:fill="auto"/>
          <w14:textFill>
            <w14:solidFill>
              <w14:schemeClr w14:val="tx1"/>
            </w14:solidFill>
          </w14:textFill>
        </w:rPr>
        <w:t>构建智能网联汽车技术产业体系，以中汽中心新能源汽车科技创新中心为核心</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rPr>
        <w:t>，</w:t>
      </w:r>
      <w:r>
        <w:rPr>
          <w:rFonts w:hint="eastAsia" w:ascii="Times New Roman" w:hAnsi="Times New Roman" w:eastAsia="仿宋_GB2312" w:cs="Times New Roman"/>
          <w:b w:val="0"/>
          <w:bCs w:val="0"/>
          <w:snapToGrid w:val="0"/>
          <w:color w:val="000000" w:themeColor="text1"/>
          <w:sz w:val="32"/>
          <w:szCs w:val="30"/>
          <w:highlight w:val="none"/>
          <w:shd w:val="clear" w:color="auto" w:fill="auto"/>
          <w:lang w:val="en-US" w:eastAsia="zh-CN"/>
          <w14:textFill>
            <w14:solidFill>
              <w14:schemeClr w14:val="tx1"/>
            </w14:solidFill>
          </w14:textFill>
        </w:rPr>
        <w:t>建设</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rPr>
        <w:t>智能网联科技创新基地，</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val="en-US" w:eastAsia="zh-CN"/>
          <w14:textFill>
            <w14:solidFill>
              <w14:schemeClr w14:val="tx1"/>
            </w14:solidFill>
          </w14:textFill>
        </w:rPr>
        <w:t>推动</w:t>
      </w:r>
      <w:r>
        <w:rPr>
          <w:rFonts w:hint="default" w:ascii="Times New Roman" w:hAnsi="Times New Roman" w:eastAsia="仿宋_GB2312" w:cs="Times New Roman"/>
          <w:b w:val="0"/>
          <w:bCs w:val="0"/>
          <w:snapToGrid w:val="0"/>
          <w:color w:val="000000" w:themeColor="text1"/>
          <w:sz w:val="32"/>
          <w:szCs w:val="30"/>
          <w:highlight w:val="none"/>
          <w:shd w:val="clear" w:color="auto" w:fill="auto"/>
          <w14:textFill>
            <w14:solidFill>
              <w14:schemeClr w14:val="tx1"/>
            </w14:solidFill>
          </w14:textFill>
        </w:rPr>
        <w:t>智能网联汽车技术创新研究院突破自动驾驶算法、车规级芯片等关键技术。开放东丽湖片区等智能网联测试道路，配备5G网络等设施，支持L4级测试。建设东丽智能网联云平台，提供仿真测试、算法优化等服务。</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2030年智能网联汽车技术</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相关产业规模突破30</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亿元。（</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科技局，</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运管局、工信局</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68FAB252">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（四）</w:t>
      </w:r>
      <w:r>
        <w:rPr>
          <w:rFonts w:hint="default" w:ascii="Times New Roman" w:hAnsi="Times New Roman" w:eastAsia="楷体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培育地质勘查特色产业</w:t>
      </w:r>
    </w:p>
    <w:p w14:paraId="79D64121">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4.</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依托</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华北地质科技创新中心基地，强化地质勘查领域技术支撑能力。深化与中国地质调查局合作共建，加快建设廊坊自然资源综合调查中心、地球物理调查中心，依托中国地质科学院物化探所、勘探所科技创新基地，攻关深部资源探测、地质灾害预警等技术。吸引地质装备制造等上下游企业集聚，建设设备共享平台。推动地热资源开发与地质科普基地建设，形成特色优势。（</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科技局、数据局、东丽湖街</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1FCA5904">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（五）其他生产性服务业多元发展</w:t>
      </w:r>
    </w:p>
    <w:p w14:paraId="232D4333">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5.</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知识产权。依托国知局审协中心，发挥人才资源和信息资源优势，构建全链条服务体系，</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带动知识产权运营、技术咨询等生产性服务业聚集发展</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。强化企业知识产权质押服务保障，推广专利开放许可，加快专利流动转化。</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市场监管局</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41FFFAA6">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6.创意设计</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。依托海河柳林“设计之都”</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建设</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，发展创意型数字设计产业，强化人工智能、工业互联网等赋能型技术融合应用。引育工业设计领军企业，提升数智化水平和全过程工程咨询能力，申报国家级、市级工业设计中心。（</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工信局、万新街</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3AD4658E">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7.</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算力和数据服务。构建高效协同的数字基础设施体系，统筹算力与数据资源。升级5G与千兆光网，支持制造业、农业、服务业等领域引入数字化设备和智能管理系统，推动数据应用场景落地。运用大数据、物联网等信息技术，推进仓储数字管理、车辆货物自动匹配、园区智能调度。（</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数据局，</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农业农村委</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、工信局、商务局、运管局</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435D83C8">
      <w:pPr>
        <w:keepNext w:val="0"/>
        <w:keepLines w:val="0"/>
        <w:pageBreakBefore w:val="0"/>
        <w:kinsoku/>
        <w:wordWrap/>
        <w:overflow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strike w:val="0"/>
          <w:dstrike w:val="0"/>
          <w:color w:val="000000" w:themeColor="text1"/>
          <w:sz w:val="32"/>
          <w:szCs w:val="32"/>
          <w:highlight w:val="none"/>
          <w:u w:val="none"/>
          <w:shd w:val="clear" w:color="auto" w:fill="auto"/>
          <w:lang w:val="en" w:eastAsia="zh-CN"/>
          <w14:textFill>
            <w14:solidFill>
              <w14:schemeClr w14:val="tx1"/>
            </w14:solidFill>
          </w14:textFill>
        </w:rPr>
      </w:pPr>
      <w:r>
        <w:rPr>
          <w:rFonts w:hint="default" w:ascii="Times New Roman" w:hAnsi="Times New Roman" w:eastAsia="仿宋_GB2312" w:cs="Times New Roman"/>
          <w:b w:val="0"/>
          <w:bCs w:val="0"/>
          <w:strike w:val="0"/>
          <w:dstrike w:val="0"/>
          <w:color w:val="000000" w:themeColor="text1"/>
          <w:sz w:val="32"/>
          <w:szCs w:val="32"/>
          <w:highlight w:val="none"/>
          <w:u w:val="none"/>
          <w:shd w:val="clear" w:color="auto" w:fill="auto"/>
          <w:lang w:val="en-US" w:eastAsia="zh-CN"/>
          <w14:textFill>
            <w14:solidFill>
              <w14:schemeClr w14:val="tx1"/>
            </w14:solidFill>
          </w14:textFill>
        </w:rPr>
        <w:t>8.</w:t>
      </w:r>
      <w:r>
        <w:rPr>
          <w:rFonts w:hint="default" w:ascii="Times New Roman" w:hAnsi="Times New Roman" w:eastAsia="仿宋_GB2312" w:cs="Times New Roman"/>
          <w:b w:val="0"/>
          <w:bCs w:val="0"/>
          <w:strike w:val="0"/>
          <w:dstrike w:val="0"/>
          <w:color w:val="000000" w:themeColor="text1"/>
          <w:sz w:val="32"/>
          <w:szCs w:val="32"/>
          <w:highlight w:val="none"/>
          <w:u w:val="none"/>
          <w:shd w:val="clear" w:color="auto" w:fill="auto"/>
          <w:lang w:val="en" w:eastAsia="zh-CN"/>
          <w14:textFill>
            <w14:solidFill>
              <w14:schemeClr w14:val="tx1"/>
            </w14:solidFill>
          </w14:textFill>
        </w:rPr>
        <w:t>商贸流通。支持</w:t>
      </w:r>
      <w:r>
        <w:rPr>
          <w:rFonts w:hint="default" w:ascii="Times New Roman" w:hAnsi="Times New Roman" w:eastAsia="仿宋_GB2312" w:cs="Times New Roman"/>
          <w:b w:val="0"/>
          <w:bCs w:val="0"/>
          <w:strike w:val="0"/>
          <w:dstrike w:val="0"/>
          <w:color w:val="000000" w:themeColor="text1"/>
          <w:sz w:val="32"/>
          <w:szCs w:val="32"/>
          <w:highlight w:val="none"/>
          <w:u w:val="none"/>
          <w:shd w:val="clear" w:color="auto" w:fill="auto"/>
          <w:lang w:val="en-US" w:eastAsia="zh-CN"/>
          <w14:textFill>
            <w14:solidFill>
              <w14:schemeClr w14:val="tx1"/>
            </w14:solidFill>
          </w14:textFill>
        </w:rPr>
        <w:t>大宗贸易企业</w:t>
      </w:r>
      <w:r>
        <w:rPr>
          <w:rFonts w:hint="default" w:ascii="Times New Roman" w:hAnsi="Times New Roman" w:eastAsia="仿宋_GB2312" w:cs="Times New Roman"/>
          <w:b w:val="0"/>
          <w:bCs w:val="0"/>
          <w:strike w:val="0"/>
          <w:dstrike w:val="0"/>
          <w:color w:val="000000" w:themeColor="text1"/>
          <w:sz w:val="32"/>
          <w:szCs w:val="32"/>
          <w:highlight w:val="none"/>
          <w:u w:val="none"/>
          <w:shd w:val="clear" w:color="auto" w:fill="auto"/>
          <w:lang w:val="en" w:eastAsia="zh-CN"/>
          <w14:textFill>
            <w14:solidFill>
              <w14:schemeClr w14:val="tx1"/>
            </w14:solidFill>
          </w14:textFill>
        </w:rPr>
        <w:t>向供应链集成服务商转型，延伸加工、仓储等服务。依托津品跨境数字贸易产业园，试点跨境电商出口海外仓，推动与一般贸易、海外仓等多模式融合，扩大对中小微出口企业政策性保险和信贷支持。（</w:t>
      </w:r>
      <w:r>
        <w:rPr>
          <w:rFonts w:hint="eastAsia" w:ascii="Times New Roman" w:hAnsi="Times New Roman" w:eastAsia="仿宋_GB2312" w:cs="Times New Roman"/>
          <w:b w:val="0"/>
          <w:bCs w:val="0"/>
          <w:strike w:val="0"/>
          <w:dstrike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strike w:val="0"/>
          <w:dstrike w:val="0"/>
          <w:color w:val="000000" w:themeColor="text1"/>
          <w:sz w:val="32"/>
          <w:szCs w:val="32"/>
          <w:highlight w:val="none"/>
          <w:u w:val="none"/>
          <w:shd w:val="clear" w:color="auto" w:fill="auto"/>
          <w:lang w:val="en-US" w:eastAsia="zh-CN"/>
          <w14:textFill>
            <w14:solidFill>
              <w14:schemeClr w14:val="tx1"/>
            </w14:solidFill>
          </w14:textFill>
        </w:rPr>
        <w:t>商务局，</w:t>
      </w:r>
      <w:r>
        <w:rPr>
          <w:rFonts w:hint="eastAsia" w:ascii="Times New Roman" w:hAnsi="Times New Roman" w:eastAsia="仿宋_GB2312" w:cs="Times New Roman"/>
          <w:b w:val="0"/>
          <w:bCs w:val="0"/>
          <w:strike w:val="0"/>
          <w:dstrike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strike w:val="0"/>
          <w:dstrike w:val="0"/>
          <w:color w:val="000000" w:themeColor="text1"/>
          <w:sz w:val="32"/>
          <w:szCs w:val="32"/>
          <w:highlight w:val="none"/>
          <w:u w:val="none"/>
          <w:shd w:val="clear" w:color="auto" w:fill="auto"/>
          <w:lang w:val="en-US" w:eastAsia="zh-CN"/>
          <w14:textFill>
            <w14:solidFill>
              <w14:schemeClr w14:val="tx1"/>
            </w14:solidFill>
          </w14:textFill>
        </w:rPr>
        <w:t>运管局、东丽海关</w:t>
      </w:r>
      <w:r>
        <w:rPr>
          <w:rFonts w:hint="default" w:ascii="Times New Roman" w:hAnsi="Times New Roman" w:eastAsia="仿宋_GB2312" w:cs="Times New Roman"/>
          <w:b w:val="0"/>
          <w:bCs w:val="0"/>
          <w:strike w:val="0"/>
          <w:dstrike w:val="0"/>
          <w:color w:val="000000" w:themeColor="text1"/>
          <w:sz w:val="32"/>
          <w:szCs w:val="32"/>
          <w:highlight w:val="none"/>
          <w:u w:val="none"/>
          <w:shd w:val="clear" w:color="auto" w:fill="auto"/>
          <w:lang w:val="en" w:eastAsia="zh-CN"/>
          <w14:textFill>
            <w14:solidFill>
              <w14:schemeClr w14:val="tx1"/>
            </w14:solidFill>
          </w14:textFill>
        </w:rPr>
        <w:t>）</w:t>
      </w:r>
    </w:p>
    <w:p w14:paraId="037A1F64">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cs="Times New Roman"/>
          <w:b w:val="0"/>
          <w:bCs w:val="0"/>
          <w:color w:val="000000" w:themeColor="text1"/>
          <w:highlight w:val="none"/>
          <w:shd w:val="clear" w:color="auto" w:fill="auto"/>
          <w:lang w:val="en"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9.</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金融服务。引导金融资源向科技创新、成果转化领域倾斜。鼓励金融机构等参与创业投资，打造京津冀科技金融创新重点区域。</w:t>
      </w:r>
      <w:r>
        <w:rPr>
          <w:rFonts w:hint="default" w:ascii="Times New Roman" w:hAnsi="Times New Roman" w:eastAsia="仿宋_GB2312" w:cs="Times New Roman"/>
          <w:b w:val="0"/>
          <w:bCs w:val="0"/>
          <w:color w:val="000000" w:themeColor="text1"/>
          <w:kern w:val="2"/>
          <w:sz w:val="32"/>
          <w:szCs w:val="32"/>
          <w:highlight w:val="none"/>
          <w:u w:val="none"/>
          <w:shd w:val="clear" w:color="auto" w:fill="auto"/>
          <w:lang w:val="en" w:eastAsia="zh-CN" w:bidi="ar-SA"/>
          <w14:textFill>
            <w14:solidFill>
              <w14:schemeClr w14:val="tx1"/>
            </w14:solidFill>
          </w14:textFill>
        </w:rPr>
        <w:t>围绕低空经济、商业航天等产业，依托5亿元天开东丽引导基金，联合社会资本赋能产业链。</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深化与海河产业基金合作，畅通“募投管退”循环，形成“以投带引”模式，引育高端创新主体。（</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财政局</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20C1878B">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 w:val="0"/>
          <w:bCs w:val="0"/>
          <w:color w:val="000000" w:themeColor="text1"/>
          <w:sz w:val="32"/>
          <w:szCs w:val="32"/>
          <w:highlight w:val="none"/>
          <w:shd w:val="clear" w:color="auto" w:fill="auto"/>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highlight w:val="none"/>
          <w:shd w:val="clear" w:color="auto" w:fill="auto"/>
          <w:lang w:val="en-US" w:eastAsia="zh-CN"/>
          <w14:textFill>
            <w14:solidFill>
              <w14:schemeClr w14:val="tx1"/>
            </w14:solidFill>
          </w14:textFill>
        </w:rPr>
        <w:t>二、</w:t>
      </w:r>
      <w:r>
        <w:rPr>
          <w:rFonts w:hint="default" w:ascii="Times New Roman" w:hAnsi="Times New Roman" w:eastAsia="黑体" w:cs="Times New Roman"/>
          <w:b w:val="0"/>
          <w:bCs w:val="0"/>
          <w:color w:val="000000" w:themeColor="text1"/>
          <w:sz w:val="32"/>
          <w:szCs w:val="32"/>
          <w:highlight w:val="none"/>
          <w:shd w:val="clear" w:color="auto" w:fill="auto"/>
          <w:lang w:eastAsia="zh-CN"/>
          <w14:textFill>
            <w14:solidFill>
              <w14:schemeClr w14:val="tx1"/>
            </w14:solidFill>
          </w14:textFill>
        </w:rPr>
        <w:t>促进生活性服务业品质化发展</w:t>
      </w:r>
    </w:p>
    <w:p w14:paraId="3AA33949">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shd w:val="clear" w:color="auto" w:fill="auto"/>
          <w:lang w:val="en" w:eastAsia="zh-CN"/>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t>一）推动</w:t>
      </w:r>
      <w:r>
        <w:rPr>
          <w:rFonts w:hint="default" w:ascii="Times New Roman" w:hAnsi="Times New Roman" w:eastAsia="楷体_GB2312" w:cs="Times New Roman"/>
          <w:b w:val="0"/>
          <w:bCs w:val="0"/>
          <w:color w:val="000000" w:themeColor="text1"/>
          <w:sz w:val="32"/>
          <w:szCs w:val="32"/>
          <w:highlight w:val="none"/>
          <w:shd w:val="clear" w:color="auto" w:fill="auto"/>
          <w:lang w:val="en" w:eastAsia="zh-CN"/>
          <w14:textFill>
            <w14:solidFill>
              <w14:schemeClr w14:val="tx1"/>
            </w14:solidFill>
          </w14:textFill>
        </w:rPr>
        <w:t>零售和住餐</w:t>
      </w:r>
      <w:r>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t>行业转型升级</w:t>
      </w:r>
    </w:p>
    <w:p w14:paraId="293094EF">
      <w:pPr>
        <w:pStyle w:val="2"/>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.零售业。</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支持</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传统</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超市调改升级，推动连锁便利店进园区、进社区，推广卖场联动云仓运营模式</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。鼓励</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商业综合体引进品牌首店、旗舰店、概念店</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shd w:val="clear" w:color="auto" w:fill="auto"/>
          <w:lang w:val="en" w:eastAsia="zh-CN"/>
          <w14:textFill>
            <w14:solidFill>
              <w14:schemeClr w14:val="tx1"/>
            </w14:solidFill>
          </w14:textFill>
        </w:rPr>
        <w:t>拓展服务消费功能。鼓励企业开展品牌</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直</w:t>
      </w:r>
      <w:r>
        <w:rPr>
          <w:rFonts w:hint="default" w:ascii="Times New Roman" w:hAnsi="Times New Roman" w:eastAsia="仿宋_GB2312" w:cs="Times New Roman"/>
          <w:b w:val="0"/>
          <w:bCs w:val="0"/>
          <w:color w:val="000000" w:themeColor="text1"/>
          <w:sz w:val="32"/>
          <w:szCs w:val="32"/>
          <w:highlight w:val="none"/>
          <w:shd w:val="clear" w:color="auto" w:fill="auto"/>
          <w:lang w:val="en" w:eastAsia="zh-CN"/>
          <w14:textFill>
            <w14:solidFill>
              <w14:schemeClr w14:val="tx1"/>
            </w14:solidFill>
          </w14:textFill>
        </w:rPr>
        <w:t>播，文旅场馆、产业园区嵌入多元化直播场景，发展“直播+”新业态。</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围绕</w:t>
      </w:r>
      <w:r>
        <w:rPr>
          <w:rFonts w:hint="default" w:ascii="Times New Roman" w:hAnsi="Times New Roman" w:eastAsia="仿宋_GB2312" w:cs="Times New Roman"/>
          <w:b w:val="0"/>
          <w:bCs w:val="0"/>
          <w:color w:val="000000" w:themeColor="text1"/>
          <w:sz w:val="32"/>
          <w:szCs w:val="32"/>
          <w:highlight w:val="none"/>
          <w:shd w:val="clear" w:color="auto" w:fill="auto"/>
          <w:lang w:val="en" w:eastAsia="zh-CN"/>
          <w14:textFill>
            <w14:solidFill>
              <w14:schemeClr w14:val="tx1"/>
            </w14:solidFill>
          </w14:textFill>
        </w:rPr>
        <w:t>低空经济、数码智能、康养器械、</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宠物产业</w:t>
      </w:r>
      <w:r>
        <w:rPr>
          <w:rFonts w:hint="default" w:ascii="Times New Roman" w:hAnsi="Times New Roman" w:eastAsia="仿宋_GB2312" w:cs="Times New Roman"/>
          <w:b w:val="0"/>
          <w:bCs w:val="0"/>
          <w:color w:val="000000" w:themeColor="text1"/>
          <w:sz w:val="32"/>
          <w:szCs w:val="32"/>
          <w:highlight w:val="none"/>
          <w:shd w:val="clear" w:color="auto" w:fill="auto"/>
          <w:lang w:val="en" w:eastAsia="zh-CN"/>
          <w14:textFill>
            <w14:solidFill>
              <w14:schemeClr w14:val="tx1"/>
            </w14:solidFill>
          </w14:textFill>
        </w:rPr>
        <w:t>等高附加值板块，</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引育零售市场主体，</w:t>
      </w:r>
      <w:r>
        <w:rPr>
          <w:rFonts w:hint="default" w:ascii="Times New Roman" w:hAnsi="Times New Roman" w:eastAsia="仿宋_GB2312" w:cs="Times New Roman"/>
          <w:b w:val="0"/>
          <w:bCs w:val="0"/>
          <w:color w:val="000000" w:themeColor="text1"/>
          <w:sz w:val="32"/>
          <w:szCs w:val="32"/>
          <w:highlight w:val="none"/>
          <w:shd w:val="clear" w:color="auto" w:fill="auto"/>
          <w:lang w:val="en" w:eastAsia="zh-CN"/>
          <w14:textFill>
            <w14:solidFill>
              <w14:schemeClr w14:val="tx1"/>
            </w14:solidFill>
          </w14:textFill>
        </w:rPr>
        <w:t>推动</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 w:eastAsia="zh-CN" w:bidi="ar-SA"/>
          <w14:textFill>
            <w14:solidFill>
              <w14:schemeClr w14:val="tx1"/>
            </w14:solidFill>
          </w14:textFill>
        </w:rPr>
        <w:t>社会消费品零售</w:t>
      </w:r>
      <w:r>
        <w:rPr>
          <w:rFonts w:hint="eastAsia" w:ascii="Times New Roman" w:hAnsi="Times New Roman" w:eastAsia="仿宋_GB2312" w:cs="Times New Roman"/>
          <w:b w:val="0"/>
          <w:bCs w:val="0"/>
          <w:color w:val="000000" w:themeColor="text1"/>
          <w:sz w:val="32"/>
          <w:szCs w:val="32"/>
          <w:highlight w:val="none"/>
          <w:shd w:val="clear" w:color="auto" w:fill="auto"/>
          <w:lang w:val="en" w:eastAsia="zh-CN"/>
          <w14:textFill>
            <w14:solidFill>
              <w14:schemeClr w14:val="tx1"/>
            </w14:solidFill>
          </w14:textFill>
        </w:rPr>
        <w:t>业结构多元优化</w:t>
      </w:r>
      <w:r>
        <w:rPr>
          <w:rFonts w:hint="default" w:ascii="Times New Roman" w:hAnsi="Times New Roman" w:eastAsia="仿宋_GB2312" w:cs="Times New Roman"/>
          <w:b w:val="0"/>
          <w:bCs w:val="0"/>
          <w:color w:val="000000" w:themeColor="text1"/>
          <w:sz w:val="32"/>
          <w:szCs w:val="32"/>
          <w:highlight w:val="none"/>
          <w:shd w:val="clear" w:color="auto" w:fill="auto"/>
          <w:lang w:val="en"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牵头单位：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商务局，</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配合单位：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文旅体局、投促局、</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农业农村委</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14:paraId="6C7202B6">
      <w:pPr>
        <w:pStyle w:val="2"/>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.住餐业。聚焦东丽湖生态资源禀赋，鼓励住宿业与旅游、康养等业态融合，发展露营帐篷、温泉康养等多元住宿服务。引育中高端酒店品牌和商务酒店，推动住宿业品质化升级。</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深挖东丽本土风味，策划推出精品美食旅游线路，培育打造具有辨识度的津菜特色IP。支持发展中央厨房、团餐配送等集中供餐模式，</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引育</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大型团餐企业</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牵头单位：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商务局，</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配合单位：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文旅体局、投促局、东丽湖街）</w:t>
      </w:r>
    </w:p>
    <w:p w14:paraId="2D4A7E15">
      <w:pPr>
        <w:pStyle w:val="2"/>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t>（二）深化商文旅体融合发展</w:t>
      </w:r>
    </w:p>
    <w:p w14:paraId="61D7D0AD">
      <w:pPr>
        <w:pStyle w:val="2"/>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.文旅消费。</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推动水沐人间温泉项目开工建设，打造</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“今夕东丽湖”等沉浸式体验场景，</w:t>
      </w:r>
      <w:r>
        <w:rPr>
          <w:rFonts w:hint="default" w:ascii="Times New Roman" w:hAnsi="Times New Roman" w:eastAsia="仿宋_GB2312" w:cs="Times New Roman"/>
          <w:b w:val="0"/>
          <w:bCs w:val="0"/>
          <w:i w:val="0"/>
          <w:caps w:val="0"/>
          <w:color w:val="000000" w:themeColor="text1"/>
          <w:spacing w:val="0"/>
          <w:sz w:val="32"/>
          <w:szCs w:val="32"/>
          <w:highlight w:val="none"/>
          <w:shd w:val="clear" w:color="auto" w:fill="auto"/>
          <w:lang w:eastAsia="zh-CN"/>
          <w14:textFill>
            <w14:solidFill>
              <w14:schemeClr w14:val="tx1"/>
            </w14:solidFill>
          </w14:textFill>
        </w:rPr>
        <w:t>完善“春赏花、夏戏水、秋拾趣、冬冰雪”</w:t>
      </w:r>
      <w:r>
        <w:rPr>
          <w:rFonts w:hint="default" w:ascii="Times New Roman" w:hAnsi="Times New Roman" w:eastAsia="仿宋_GB2312" w:cs="Times New Roman"/>
          <w:b w:val="0"/>
          <w:bCs w:val="0"/>
          <w:i w:val="0"/>
          <w:caps w:val="0"/>
          <w:color w:val="000000" w:themeColor="text1"/>
          <w:spacing w:val="0"/>
          <w:sz w:val="32"/>
          <w:szCs w:val="32"/>
          <w:highlight w:val="none"/>
          <w:shd w:val="clear" w:color="auto" w:fill="auto"/>
          <w14:textFill>
            <w14:solidFill>
              <w14:schemeClr w14:val="tx1"/>
            </w14:solidFill>
          </w14:textFill>
        </w:rPr>
        <w:t>四季主题产品</w:t>
      </w:r>
      <w:r>
        <w:rPr>
          <w:rFonts w:hint="default" w:ascii="Times New Roman" w:hAnsi="Times New Roman" w:eastAsia="仿宋_GB2312" w:cs="Times New Roman"/>
          <w:b w:val="0"/>
          <w:bCs w:val="0"/>
          <w:i w:val="0"/>
          <w:caps w:val="0"/>
          <w:color w:val="000000" w:themeColor="text1"/>
          <w:spacing w:val="0"/>
          <w:sz w:val="32"/>
          <w:szCs w:val="32"/>
          <w:highlight w:val="none"/>
          <w:shd w:val="clear" w:color="auto" w:fill="auto"/>
          <w:lang w:eastAsia="zh-CN"/>
          <w14:textFill>
            <w14:solidFill>
              <w14:schemeClr w14:val="tx1"/>
            </w14:solidFill>
          </w14:textFill>
        </w:rPr>
        <w:t>体系</w:t>
      </w:r>
      <w:r>
        <w:rPr>
          <w:rFonts w:hint="eastAsia" w:ascii="Times New Roman" w:hAnsi="Times New Roman" w:eastAsia="仿宋_GB2312" w:cs="Times New Roman"/>
          <w:b w:val="0"/>
          <w:bCs w:val="0"/>
          <w:i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提升东信花卉园区质效，</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推进</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园区</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发展宠物经济、文旅康养等新兴业态</w:t>
      </w:r>
      <w:r>
        <w:rPr>
          <w:rFonts w:hint="eastAsia"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支持老字号、“津农精品”、外贸优品等在滨海国际机场、军粮城北站等开设品牌馆、集合店，大力发展免退税经济。</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牵头单位：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文旅体局，</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配合单位：农业农村委</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、商务局）</w:t>
      </w:r>
    </w:p>
    <w:p w14:paraId="608564DC">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1</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3</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.体育消费。</w:t>
      </w:r>
      <w:r>
        <w:rPr>
          <w:rFonts w:hint="default" w:ascii="Times New Roman" w:hAnsi="Times New Roman" w:eastAsia="仿宋_GB2312" w:cs="Times New Roman"/>
          <w:b w:val="0"/>
          <w:bCs w:val="0"/>
          <w:vanish w:val="0"/>
          <w:color w:val="000000" w:themeColor="text1"/>
          <w:kern w:val="2"/>
          <w:sz w:val="32"/>
          <w:szCs w:val="32"/>
          <w:highlight w:val="none"/>
          <w:shd w:val="clear" w:color="auto" w:fill="auto"/>
          <w:lang w:val="en-US" w:eastAsia="zh-CN" w:bidi="ar-SA"/>
          <w14:textFill>
            <w14:solidFill>
              <w14:schemeClr w14:val="tx1"/>
            </w14:solidFill>
          </w14:textFill>
        </w:rPr>
        <w:t>引进高端赛事资源</w:t>
      </w:r>
      <w:r>
        <w:rPr>
          <w:rFonts w:hint="eastAsia" w:ascii="Times New Roman" w:hAnsi="Times New Roman" w:eastAsia="仿宋_GB2312" w:cs="Times New Roman"/>
          <w:b w:val="0"/>
          <w:bCs w:val="0"/>
          <w:vanish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仿宋_GB2312" w:cs="Times New Roman"/>
          <w:b w:val="0"/>
          <w:bCs w:val="0"/>
          <w:vanish w:val="0"/>
          <w:color w:val="000000" w:themeColor="text1"/>
          <w:kern w:val="2"/>
          <w:sz w:val="32"/>
          <w:szCs w:val="32"/>
          <w:highlight w:val="none"/>
          <w:shd w:val="clear" w:color="auto" w:fill="auto"/>
          <w:lang w:val="en-US" w:eastAsia="zh-CN" w:bidi="ar-SA"/>
          <w14:textFill>
            <w14:solidFill>
              <w14:schemeClr w14:val="tx1"/>
            </w14:solidFill>
          </w14:textFill>
        </w:rPr>
        <w:t>培育“社区运动会”“职工运动会”“赛事三进”三大赛事IP，根据景区、街区和商圈的不同特质有针对性地设计赛事。引育专业运营机构，壮大本地体育产业经营主体。丰富体育消费场景，推动体育与文旅、商业深度融合。</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文旅体局）</w:t>
      </w:r>
    </w:p>
    <w:p w14:paraId="2275E40E">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t>（三）健全健康和养老托育服务体系</w:t>
      </w:r>
    </w:p>
    <w:p w14:paraId="2CF5D240">
      <w:pPr>
        <w:pStyle w:val="2"/>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.健康服务。推动医疗机构向康复护理功能转型，扩容基层康复护理床位，拓展家庭病床及“互联网+护理”服务。深化家庭医生签约服务，推行个性化签约服务包，</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提供慢病管理</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用药指导等服务</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。深化智慧医疗应用，打造健共体健康之家项目，依托智慧卫健系统搭建智慧健共体平台。</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卫健委）</w:t>
      </w:r>
    </w:p>
    <w:p w14:paraId="16B719A3">
      <w:pPr>
        <w:pStyle w:val="2"/>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养老</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服务</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构建</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三级养老服务网络，健全公办养老机构运营机制，鼓励社会力量</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参与</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养老服务设施</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建设</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。发展嵌入式养老服务，培育专业化、连锁化、品牌化社区养老服务运营机构，增强专业照护、康复护理等能力。鼓励开展康复辅助器具社区租赁服务，积极推进适老化改造，支持养老服务领域数智化应用。</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民政局）</w:t>
      </w:r>
    </w:p>
    <w:p w14:paraId="56402D63">
      <w:pPr>
        <w:pStyle w:val="2"/>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托育服务。支持普惠托育设施建设，加快建设区级示范性托育综合服务中心，推进社区嵌入式托育与托幼一体化发展。深化“医育结合”，建立医疗卫生机构与托育机构常态化协作机制，将儿童健康管理、发育筛查深度融入托育全流程。</w:t>
      </w:r>
      <w:r>
        <w:rPr>
          <w:rFonts w:hint="default" w:ascii="Times New Roman" w:hAnsi="Times New Roman" w:eastAsia="仿宋_GB2312" w:cs="Times New Roman Regular"/>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Times New Roman" w:hAnsi="Times New Roman" w:eastAsia="仿宋_GB2312" w:cs="Times New Roman Regular"/>
          <w:b w:val="0"/>
          <w:bCs w:val="0"/>
          <w:color w:val="000000" w:themeColor="text1"/>
          <w:kern w:val="2"/>
          <w:sz w:val="32"/>
          <w:szCs w:val="32"/>
          <w:highlight w:val="none"/>
          <w:shd w:val="clear" w:color="auto" w:fill="auto"/>
          <w:lang w:val="en-US" w:eastAsia="zh-CN" w:bidi="ar-SA"/>
          <w14:textFill>
            <w14:solidFill>
              <w14:schemeClr w14:val="tx1"/>
            </w14:solidFill>
          </w14:textFill>
        </w:rPr>
        <w:t>牵头单位：</w:t>
      </w:r>
      <w:r>
        <w:rPr>
          <w:rFonts w:hint="default" w:ascii="Times New Roman" w:hAnsi="Times New Roman" w:eastAsia="仿宋_GB2312" w:cs="Times New Roman Regular"/>
          <w:b w:val="0"/>
          <w:bCs w:val="0"/>
          <w:color w:val="000000" w:themeColor="text1"/>
          <w:kern w:val="2"/>
          <w:sz w:val="32"/>
          <w:szCs w:val="32"/>
          <w:highlight w:val="none"/>
          <w:shd w:val="clear" w:color="auto" w:fill="auto"/>
          <w:lang w:val="en-US" w:eastAsia="zh-CN" w:bidi="ar-SA"/>
          <w14:textFill>
            <w14:solidFill>
              <w14:schemeClr w14:val="tx1"/>
            </w14:solidFill>
          </w14:textFill>
        </w:rPr>
        <w:t>卫健委</w:t>
      </w:r>
      <w:r>
        <w:rPr>
          <w:rFonts w:hint="eastAsia" w:ascii="Times New Roman" w:hAnsi="Times New Roman" w:eastAsia="仿宋_GB2312" w:cs="Times New Roman Regular"/>
          <w:b w:val="0"/>
          <w:bCs w:val="0"/>
          <w:color w:val="000000" w:themeColor="text1"/>
          <w:kern w:val="2"/>
          <w:sz w:val="32"/>
          <w:szCs w:val="32"/>
          <w:highlight w:val="none"/>
          <w:shd w:val="clear" w:color="auto" w:fill="auto"/>
          <w:lang w:val="en-US" w:eastAsia="zh-CN" w:bidi="ar-SA"/>
          <w14:textFill>
            <w14:solidFill>
              <w14:schemeClr w14:val="tx1"/>
            </w14:solidFill>
          </w14:textFill>
        </w:rPr>
        <w:t>，配合单位：发改委、教育局、规资分局</w:t>
      </w:r>
      <w:r>
        <w:rPr>
          <w:rFonts w:hint="default" w:ascii="Times New Roman" w:hAnsi="Times New Roman" w:eastAsia="仿宋_GB2312" w:cs="Times New Roman Regular"/>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14:paraId="070D1003">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t>（四）优化教育和培训服务供给</w:t>
      </w:r>
    </w:p>
    <w:p w14:paraId="2B3CDEC8">
      <w:pPr>
        <w:pStyle w:val="2"/>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1</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7</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教育服务。深化与高校共建“区校终身学习联合体”项目，发挥东丽开放大学在区域继续教育体系中的核心作用。大力推动数字化与信息化技术在社区教育和老年教育中的融合应用，通过录制与推送微课程，助力终身教育高质量发展。（</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教育局）</w:t>
      </w:r>
    </w:p>
    <w:p w14:paraId="4226D6D7">
      <w:pPr>
        <w:keepNext w:val="0"/>
        <w:keepLines w:val="0"/>
        <w:pageBreakBefore w:val="0"/>
        <w:widowControl w:val="0"/>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1</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8</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.培训服务。</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深</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化</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技耀前程行动”，全面推行“岗位需求+技能培训+技能评价+就业服务”四位一体项目化培训模式，开展培训养老护理员、健康照护师等家政服务培训。对符合条件的人员免费开展职业技能培训，提升职业技能等级。</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鼓励校企合作，助力产教融合工作取得新进展。</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人社局）</w:t>
      </w:r>
    </w:p>
    <w:p w14:paraId="6418B885">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shd w:val="clear" w:color="auto" w:fill="auto"/>
          <w:lang w:val="en-US" w:eastAsia="zh-CN"/>
          <w14:textFill>
            <w14:solidFill>
              <w14:schemeClr w14:val="tx1"/>
            </w14:solidFill>
          </w14:textFill>
        </w:rPr>
        <w:t>（五）增强居住和家政服务水平</w:t>
      </w:r>
    </w:p>
    <w:p w14:paraId="58D83345">
      <w:pPr>
        <w:keepNext w:val="0"/>
        <w:keepLines w:val="0"/>
        <w:pageBreakBefore w:val="0"/>
        <w:widowControl w:val="0"/>
        <w:suppressLineNumbers w:val="0"/>
        <w:kinsoku/>
        <w:wordWrap/>
        <w:overflowPunct/>
        <w:topLinePunct/>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19</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.居住服务。</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以</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房屋交易管理平台</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为依托</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，实现房源、交易、备案一体化线上管控。</w:t>
      </w:r>
      <w:r>
        <w:rPr>
          <w:rFonts w:hint="default" w:ascii="Times New Roman" w:hAnsi="Times New Roman" w:eastAsia="仿宋_GB2312" w:cs="Times New Roman"/>
          <w:b w:val="0"/>
          <w:bCs w:val="0"/>
          <w:color w:val="000000" w:themeColor="text1"/>
          <w:kern w:val="0"/>
          <w:sz w:val="32"/>
          <w:szCs w:val="32"/>
          <w:highlight w:val="none"/>
          <w:shd w:val="clear" w:color="auto" w:fill="auto"/>
          <w:lang w:val="en-US" w:eastAsia="zh-CN" w:bidi="ar"/>
          <w14:textFill>
            <w14:solidFill>
              <w14:schemeClr w14:val="tx1"/>
            </w14:solidFill>
          </w14:textFill>
        </w:rPr>
        <w:t>规范房地产中介经营行为，加强经纪人员管理</w:t>
      </w:r>
      <w:r>
        <w:rPr>
          <w:rFonts w:hint="eastAsia" w:ascii="Times New Roman" w:hAnsi="Times New Roman" w:eastAsia="仿宋_GB2312" w:cs="Times New Roman"/>
          <w:b w:val="0"/>
          <w:bCs w:val="0"/>
          <w:color w:val="000000" w:themeColor="text1"/>
          <w:kern w:val="0"/>
          <w:sz w:val="32"/>
          <w:szCs w:val="32"/>
          <w:highlight w:val="none"/>
          <w:shd w:val="clear" w:color="auto" w:fill="auto"/>
          <w:lang w:val="en-US"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highlight w:val="none"/>
          <w:shd w:val="clear" w:color="auto" w:fill="auto"/>
          <w:lang w:val="en-US" w:eastAsia="zh-CN" w:bidi="ar"/>
          <w14:textFill>
            <w14:solidFill>
              <w14:schemeClr w14:val="tx1"/>
            </w14:solidFill>
          </w14:textFill>
        </w:rPr>
        <w:t>加强住房租赁企业监管，保障租赁双方权益。推行“阳光物业”小区治理新模式</w:t>
      </w:r>
      <w:r>
        <w:rPr>
          <w:rFonts w:hint="eastAsia" w:ascii="Times New Roman" w:hAnsi="Times New Roman" w:eastAsia="仿宋_GB2312" w:cs="Times New Roman"/>
          <w:b w:val="0"/>
          <w:bCs w:val="0"/>
          <w:color w:val="000000" w:themeColor="text1"/>
          <w:kern w:val="0"/>
          <w:sz w:val="32"/>
          <w:szCs w:val="32"/>
          <w:highlight w:val="none"/>
          <w:shd w:val="clear" w:color="auto" w:fill="auto"/>
          <w:lang w:val="en-US"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highlight w:val="none"/>
          <w:shd w:val="clear" w:color="auto" w:fill="auto"/>
          <w:lang w:val="en-US" w:eastAsia="zh-CN" w:bidi="ar"/>
          <w14:textFill>
            <w14:solidFill>
              <w14:schemeClr w14:val="tx1"/>
            </w14:solidFill>
          </w14:textFill>
        </w:rPr>
        <w:t>支持优质物业品牌参与我区物业服务，提升物业管理规范化水平。</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住建委）</w:t>
      </w:r>
    </w:p>
    <w:p w14:paraId="5E9AF9F4">
      <w:pPr>
        <w:keepNext w:val="0"/>
        <w:keepLines w:val="0"/>
        <w:pageBreakBefore w:val="0"/>
        <w:widowControl w:val="0"/>
        <w:suppressLineNumbers w:val="0"/>
        <w:kinsoku/>
        <w:wordWrap/>
        <w:overflowPunct/>
        <w:topLinePunct/>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lang w:val="en-US" w:eastAsia="zh-CN" w:bidi="ar"/>
          <w14:textFill>
            <w14:solidFill>
              <w14:schemeClr w14:val="tx1"/>
            </w14:solidFill>
          </w14:textFill>
        </w:rPr>
        <w:t>2</w:t>
      </w:r>
      <w:r>
        <w:rPr>
          <w:rFonts w:hint="eastAsia" w:ascii="Times New Roman" w:hAnsi="Times New Roman" w:eastAsia="仿宋_GB2312" w:cs="Times New Roman"/>
          <w:b w:val="0"/>
          <w:bCs w:val="0"/>
          <w:color w:val="000000" w:themeColor="text1"/>
          <w:kern w:val="0"/>
          <w:sz w:val="32"/>
          <w:szCs w:val="32"/>
          <w:highlight w:val="none"/>
          <w:shd w:val="clear" w:color="auto" w:fill="auto"/>
          <w:lang w:val="en-US" w:eastAsia="zh-CN" w:bidi="ar"/>
          <w14:textFill>
            <w14:solidFill>
              <w14:schemeClr w14:val="tx1"/>
            </w14:solidFill>
          </w14:textFill>
        </w:rPr>
        <w:t>0</w:t>
      </w:r>
      <w:r>
        <w:rPr>
          <w:rFonts w:hint="default" w:ascii="Times New Roman" w:hAnsi="Times New Roman" w:eastAsia="仿宋_GB2312" w:cs="Times New Roman"/>
          <w:b w:val="0"/>
          <w:bCs w:val="0"/>
          <w:color w:val="000000" w:themeColor="text1"/>
          <w:kern w:val="0"/>
          <w:sz w:val="32"/>
          <w:szCs w:val="32"/>
          <w:highlight w:val="none"/>
          <w:shd w:val="clear" w:color="auto" w:fill="auto"/>
          <w:lang w:val="en-US" w:eastAsia="zh-CN" w:bidi="ar"/>
          <w14:textFill>
            <w14:solidFill>
              <w14:schemeClr w14:val="tx1"/>
            </w14:solidFill>
          </w14:textFill>
        </w:rPr>
        <w:t>.家政服务。</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培育专业化服务机构，扩大居家养老服务有效供给。</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鼓励家政企业参与城市一刻钟便民生活圈和社区嵌入式服务设施建设。</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依托社区嵌入式机构整合周边服务资源，为居家老年人提供多样化服务，更好满足居家照护服务需求。（</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民政局，</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商务局）</w:t>
      </w:r>
    </w:p>
    <w:p w14:paraId="4BE7F7F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right="0" w:firstLine="640" w:firstLineChars="200"/>
        <w:jc w:val="both"/>
        <w:textAlignment w:val="auto"/>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黑体"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三、</w:t>
      </w:r>
      <w:r>
        <w:rPr>
          <w:rFonts w:hint="eastAsia" w:ascii="Times New Roman" w:hAnsi="Times New Roman" w:eastAsia="黑体"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推动重点片区</w:t>
      </w:r>
      <w:r>
        <w:rPr>
          <w:rFonts w:hint="default" w:ascii="Times New Roman" w:hAnsi="Times New Roman" w:eastAsia="黑体"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服务业</w:t>
      </w:r>
      <w:r>
        <w:rPr>
          <w:rFonts w:hint="eastAsia" w:ascii="Times New Roman" w:hAnsi="Times New Roman" w:eastAsia="黑体"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发展</w:t>
      </w:r>
      <w:r>
        <w:rPr>
          <w:rFonts w:hint="default" w:ascii="Times New Roman" w:hAnsi="Times New Roman" w:eastAsia="黑体"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提质增效</w:t>
      </w:r>
    </w:p>
    <w:p w14:paraId="40E1A4B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right="0" w:firstLine="640" w:firstLineChars="200"/>
        <w:jc w:val="both"/>
        <w:textAlignment w:val="auto"/>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14:ligatures w14:val="none"/>
        </w:rPr>
      </w:pPr>
      <w:r>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（一）擦亮东丽湖名片，提升文旅服务能级</w:t>
      </w:r>
    </w:p>
    <w:p w14:paraId="78215E10">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snapToGrid w:val="0"/>
          <w:color w:val="000000" w:themeColor="text1"/>
          <w:sz w:val="32"/>
          <w:szCs w:val="30"/>
          <w:highlight w:val="none"/>
          <w:shd w:val="clear" w:color="auto" w:fill="auto"/>
          <w14:textFill>
            <w14:solidFill>
              <w14:schemeClr w14:val="tx1"/>
            </w14:solidFill>
          </w14:textFill>
          <w14:ligatures w14:val="none"/>
        </w:rPr>
      </w:pPr>
      <w:r>
        <w:rPr>
          <w:rFonts w:hint="default" w:ascii="Times New Roman" w:hAnsi="Times New Roman" w:eastAsia="仿宋_GB2312" w:cs="Times New Roman"/>
          <w:b w:val="0"/>
          <w:bCs w:val="0"/>
          <w:snapToGrid w:val="0"/>
          <w:color w:val="000000" w:themeColor="text1"/>
          <w:sz w:val="32"/>
          <w:szCs w:val="30"/>
          <w:highlight w:val="none"/>
          <w:shd w:val="clear" w:color="auto" w:fill="auto"/>
          <w:lang w:val="en-US" w:eastAsia="zh-CN"/>
          <w14:textFill>
            <w14:solidFill>
              <w14:schemeClr w14:val="tx1"/>
            </w14:solidFill>
          </w14:textFill>
          <w14:ligatures w14:val="none"/>
        </w:rPr>
        <w:t>2</w:t>
      </w:r>
      <w:r>
        <w:rPr>
          <w:rFonts w:hint="eastAsia" w:ascii="Times New Roman" w:hAnsi="Times New Roman" w:eastAsia="仿宋_GB2312" w:cs="Times New Roman"/>
          <w:b w:val="0"/>
          <w:bCs w:val="0"/>
          <w:snapToGrid w:val="0"/>
          <w:color w:val="000000" w:themeColor="text1"/>
          <w:sz w:val="32"/>
          <w:szCs w:val="30"/>
          <w:highlight w:val="none"/>
          <w:shd w:val="clear" w:color="auto" w:fill="auto"/>
          <w:lang w:val="en-US" w:eastAsia="zh-CN"/>
          <w14:textFill>
            <w14:solidFill>
              <w14:schemeClr w14:val="tx1"/>
            </w14:solidFill>
          </w14:textFill>
          <w14:ligatures w14:val="none"/>
        </w:rPr>
        <w:t>1</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val="en-US" w:eastAsia="zh-CN"/>
          <w14:textFill>
            <w14:solidFill>
              <w14:schemeClr w14:val="tx1"/>
            </w14:solidFill>
          </w14:textFill>
          <w14:ligatures w14:val="none"/>
        </w:rPr>
        <w:t>.</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14:ligatures w14:val="none"/>
        </w:rPr>
        <w:t>发挥东丽湖</w:t>
      </w:r>
      <w:r>
        <w:rPr>
          <w:rFonts w:hint="default" w:ascii="Times New Roman" w:hAnsi="Times New Roman" w:eastAsia="仿宋_GB2312" w:cs="Times New Roman"/>
          <w:b w:val="0"/>
          <w:bCs w:val="0"/>
          <w:snapToGrid w:val="0"/>
          <w:color w:val="000000" w:themeColor="text1"/>
          <w:sz w:val="32"/>
          <w:szCs w:val="30"/>
          <w:highlight w:val="none"/>
          <w:shd w:val="clear" w:color="auto" w:fill="auto"/>
          <w14:textFill>
            <w14:solidFill>
              <w14:schemeClr w14:val="tx1"/>
            </w14:solidFill>
          </w14:textFill>
          <w14:ligatures w14:val="none"/>
        </w:rPr>
        <w:t>现代服务业示范区</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14:ligatures w14:val="none"/>
        </w:rPr>
        <w:t>与生态旅游示范区平台优势，</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val="en-US" w:eastAsia="zh-CN"/>
          <w14:textFill>
            <w14:solidFill>
              <w14:schemeClr w14:val="tx1"/>
            </w14:solidFill>
          </w14:textFill>
          <w14:ligatures w14:val="none"/>
        </w:rPr>
        <w:t>持续优化欢乐谷、观湖城堡等重点景区。</w:t>
      </w:r>
      <w:r>
        <w:rPr>
          <w:rFonts w:hint="default" w:ascii="Times New Roman" w:hAnsi="Times New Roman" w:eastAsia="仿宋_GB2312" w:cs="Times New Roman"/>
          <w:b w:val="0"/>
          <w:bCs w:val="0"/>
          <w:snapToGrid w:val="0"/>
          <w:color w:val="000000" w:themeColor="text1"/>
          <w:sz w:val="32"/>
          <w:szCs w:val="30"/>
          <w:highlight w:val="none"/>
          <w:shd w:val="clear" w:color="auto" w:fill="auto"/>
          <w14:textFill>
            <w14:solidFill>
              <w14:schemeClr w14:val="tx1"/>
            </w14:solidFill>
          </w14:textFill>
          <w14:ligatures w14:val="none"/>
        </w:rPr>
        <w:t>发展湖畔经济、赛事经济</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14:ligatures w14:val="none"/>
        </w:rPr>
        <w:t>，</w:t>
      </w:r>
      <w:r>
        <w:rPr>
          <w:rFonts w:hint="default" w:ascii="Times New Roman" w:hAnsi="Times New Roman" w:eastAsia="仿宋_GB2312" w:cs="Times New Roman"/>
          <w:b w:val="0"/>
          <w:bCs w:val="0"/>
          <w:snapToGrid w:val="0"/>
          <w:color w:val="000000" w:themeColor="text1"/>
          <w:sz w:val="32"/>
          <w:szCs w:val="30"/>
          <w:highlight w:val="none"/>
          <w:shd w:val="clear" w:color="auto" w:fill="auto"/>
          <w14:textFill>
            <w14:solidFill>
              <w14:schemeClr w14:val="tx1"/>
            </w14:solidFill>
          </w14:textFill>
          <w14:ligatures w14:val="none"/>
        </w:rPr>
        <w:t>办好</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14:ligatures w14:val="none"/>
        </w:rPr>
        <w:t>马拉松</w:t>
      </w:r>
      <w:r>
        <w:rPr>
          <w:rFonts w:hint="default" w:ascii="Times New Roman" w:hAnsi="Times New Roman" w:eastAsia="仿宋_GB2312" w:cs="Times New Roman"/>
          <w:b w:val="0"/>
          <w:bCs w:val="0"/>
          <w:snapToGrid w:val="0"/>
          <w:color w:val="000000" w:themeColor="text1"/>
          <w:sz w:val="32"/>
          <w:szCs w:val="30"/>
          <w:highlight w:val="none"/>
          <w:shd w:val="clear" w:color="auto" w:fill="auto"/>
          <w14:textFill>
            <w14:solidFill>
              <w14:schemeClr w14:val="tx1"/>
            </w14:solidFill>
          </w14:textFill>
          <w14:ligatures w14:val="none"/>
        </w:rPr>
        <w:t>等</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14:ligatures w14:val="none"/>
        </w:rPr>
        <w:t>品牌</w:t>
      </w:r>
      <w:r>
        <w:rPr>
          <w:rFonts w:hint="default" w:ascii="Times New Roman" w:hAnsi="Times New Roman" w:eastAsia="仿宋_GB2312" w:cs="Times New Roman"/>
          <w:b w:val="0"/>
          <w:bCs w:val="0"/>
          <w:snapToGrid w:val="0"/>
          <w:color w:val="000000" w:themeColor="text1"/>
          <w:sz w:val="32"/>
          <w:szCs w:val="30"/>
          <w:highlight w:val="none"/>
          <w:shd w:val="clear" w:color="auto" w:fill="auto"/>
          <w14:textFill>
            <w14:solidFill>
              <w14:schemeClr w14:val="tx1"/>
            </w14:solidFill>
          </w14:textFill>
          <w14:ligatures w14:val="none"/>
        </w:rPr>
        <w:t>赛事活动</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14:ligatures w14:val="none"/>
        </w:rPr>
        <w:t>。</w:t>
      </w:r>
      <w:r>
        <w:rPr>
          <w:rFonts w:hint="default" w:ascii="Times New Roman" w:hAnsi="Times New Roman" w:eastAsia="仿宋_GB2312" w:cs="Times New Roman"/>
          <w:b w:val="0"/>
          <w:bCs w:val="0"/>
          <w:strike w:val="0"/>
          <w:dstrike w:val="0"/>
          <w:snapToGrid w:val="0"/>
          <w:color w:val="000000" w:themeColor="text1"/>
          <w:sz w:val="32"/>
          <w:szCs w:val="30"/>
          <w:highlight w:val="none"/>
          <w:shd w:val="clear" w:color="auto" w:fill="auto"/>
          <w:lang w:eastAsia="zh-CN"/>
          <w14:textFill>
            <w14:solidFill>
              <w14:schemeClr w14:val="tx1"/>
            </w14:solidFill>
          </w14:textFill>
          <w14:ligatures w14:val="none"/>
        </w:rPr>
        <w:t>依托</w:t>
      </w:r>
      <w:r>
        <w:rPr>
          <w:rFonts w:hint="default" w:ascii="Times New Roman" w:hAnsi="Times New Roman" w:eastAsia="仿宋_GB2312" w:cs="Times New Roman"/>
          <w:b w:val="0"/>
          <w:bCs w:val="0"/>
          <w:strike w:val="0"/>
          <w:dstrike w:val="0"/>
          <w:snapToGrid w:val="0"/>
          <w:color w:val="000000" w:themeColor="text1"/>
          <w:sz w:val="32"/>
          <w:szCs w:val="30"/>
          <w:highlight w:val="none"/>
          <w:shd w:val="clear" w:color="auto" w:fill="auto"/>
          <w14:textFill>
            <w14:solidFill>
              <w14:schemeClr w14:val="tx1"/>
            </w14:solidFill>
          </w14:textFill>
          <w14:ligatures w14:val="none"/>
        </w:rPr>
        <w:t>华北地质科技创新中心</w:t>
      </w:r>
      <w:r>
        <w:rPr>
          <w:rFonts w:hint="default" w:ascii="Times New Roman" w:hAnsi="Times New Roman" w:eastAsia="仿宋_GB2312" w:cs="Times New Roman"/>
          <w:b w:val="0"/>
          <w:bCs w:val="0"/>
          <w:strike w:val="0"/>
          <w:dstrike w:val="0"/>
          <w:snapToGrid w:val="0"/>
          <w:color w:val="000000" w:themeColor="text1"/>
          <w:sz w:val="32"/>
          <w:szCs w:val="30"/>
          <w:highlight w:val="none"/>
          <w:shd w:val="clear" w:color="auto" w:fill="auto"/>
          <w:lang w:eastAsia="zh-CN"/>
          <w14:textFill>
            <w14:solidFill>
              <w14:schemeClr w14:val="tx1"/>
            </w14:solidFill>
          </w14:textFill>
          <w14:ligatures w14:val="none"/>
        </w:rPr>
        <w:t>五个院所机构</w:t>
      </w:r>
      <w:r>
        <w:rPr>
          <w:rFonts w:hint="default" w:ascii="Times New Roman" w:hAnsi="Times New Roman" w:eastAsia="仿宋_GB2312" w:cs="Times New Roman"/>
          <w:b w:val="0"/>
          <w:bCs w:val="0"/>
          <w:i w:val="0"/>
          <w:iCs w:val="0"/>
          <w:caps w:val="0"/>
          <w:strike w:val="0"/>
          <w:dstrike w:val="0"/>
          <w:color w:val="000000" w:themeColor="text1"/>
          <w:spacing w:val="0"/>
          <w:sz w:val="32"/>
          <w:szCs w:val="32"/>
          <w:highlight w:val="none"/>
          <w:shd w:val="clear" w:color="auto" w:fill="auto"/>
          <w:lang w:eastAsia="zh-CN"/>
          <w14:textFill>
            <w14:solidFill>
              <w14:schemeClr w14:val="tx1"/>
            </w14:solidFill>
          </w14:textFill>
        </w:rPr>
        <w:t>技术优势，打造地质勘查产业园。</w:t>
      </w:r>
      <w:r>
        <w:rPr>
          <w:rFonts w:hint="default" w:ascii="Times New Roman" w:hAnsi="Times New Roman" w:eastAsia="仿宋_GB2312" w:cs="Times New Roman"/>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围绕国网客服中心、中检科健等开展以商招商，深化与天安象屿合作</w:t>
      </w:r>
      <w:r>
        <w:rPr>
          <w:rFonts w:hint="default" w:ascii="Times New Roman" w:hAnsi="Times New Roman" w:eastAsia="仿宋_GB2312" w:cs="Times New Roman"/>
          <w:b w:val="0"/>
          <w:bCs w:val="0"/>
          <w:snapToGrid w:val="0"/>
          <w:color w:val="000000" w:themeColor="text1"/>
          <w:sz w:val="32"/>
          <w:szCs w:val="30"/>
          <w:highlight w:val="none"/>
          <w:shd w:val="clear" w:color="auto" w:fill="auto"/>
          <w:lang w:eastAsia="zh-CN"/>
          <w14:textFill>
            <w14:solidFill>
              <w14:schemeClr w14:val="tx1"/>
            </w14:solidFill>
          </w14:textFill>
          <w14:ligatures w14:val="none"/>
        </w:rPr>
        <w:t>精准招商，围绕丽健园等载体资源，拓展服务业增值潜能。</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东丽湖街，</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文旅体局</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70C0AD29">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楷体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（二）提速重点商圈</w:t>
      </w:r>
      <w:r>
        <w:rPr>
          <w:rFonts w:hint="eastAsia" w:ascii="Times New Roman" w:hAnsi="Times New Roman" w:eastAsia="楷体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发展</w:t>
      </w:r>
      <w:r>
        <w:rPr>
          <w:rFonts w:hint="default" w:ascii="Times New Roman" w:hAnsi="Times New Roman" w:eastAsia="楷体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，增强消费拉动效应</w:t>
      </w:r>
    </w:p>
    <w:p w14:paraId="2E530D37">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建设五大特色核心商圈，以万达广场为中心的新立商圈，集聚多元消费业态；以金隅嘉品Mall为中心的金钟商圈，打造家庭消费新地标；以山姆会员店为中心的万新商圈，辐射周边品质客群；以玉湖冷链为中心的军粮城商圈，重点发展冻品交易及配套商业；</w:t>
      </w:r>
      <w:r>
        <w:rPr>
          <w:rFonts w:hint="default" w:ascii="Times New Roman" w:hAnsi="Times New Roman" w:eastAsia="仿宋_GB2312" w:cs="Times New Roman"/>
          <w:b w:val="0"/>
          <w:bCs w:val="0"/>
          <w:snapToGrid w:val="0"/>
          <w:color w:val="000000" w:themeColor="text1"/>
          <w:sz w:val="32"/>
          <w:szCs w:val="32"/>
          <w:highlight w:val="none"/>
          <w:shd w:val="clear" w:color="auto" w:fill="auto"/>
          <w14:textFill>
            <w14:solidFill>
              <w14:schemeClr w14:val="tx1"/>
            </w14:solidFill>
          </w14:textFill>
        </w:rPr>
        <w:t>以东丽湖</w:t>
      </w:r>
      <w:r>
        <w:rPr>
          <w:rFonts w:hint="default" w:ascii="Times New Roman" w:hAnsi="Times New Roman" w:eastAsia="仿宋_GB2312" w:cs="Times New Roman"/>
          <w:b w:val="0"/>
          <w:bCs w:val="0"/>
          <w:snapToGrid w:val="0"/>
          <w:color w:val="000000" w:themeColor="text1"/>
          <w:sz w:val="32"/>
          <w:szCs w:val="32"/>
          <w:highlight w:val="none"/>
          <w:shd w:val="clear" w:color="auto" w:fill="auto"/>
          <w:lang w:val="en-US" w:eastAsia="zh-CN"/>
          <w14:textFill>
            <w14:solidFill>
              <w14:schemeClr w14:val="tx1"/>
            </w14:solidFill>
          </w14:textFill>
        </w:rPr>
        <w:t>区域</w:t>
      </w:r>
      <w:r>
        <w:rPr>
          <w:rFonts w:hint="default" w:ascii="Times New Roman" w:hAnsi="Times New Roman" w:eastAsia="仿宋_GB2312" w:cs="Times New Roman"/>
          <w:b w:val="0"/>
          <w:bCs w:val="0"/>
          <w:snapToGrid w:val="0"/>
          <w:color w:val="000000" w:themeColor="text1"/>
          <w:sz w:val="32"/>
          <w:szCs w:val="32"/>
          <w:highlight w:val="none"/>
          <w:shd w:val="clear" w:color="auto" w:fill="auto"/>
          <w14:textFill>
            <w14:solidFill>
              <w14:schemeClr w14:val="tx1"/>
            </w14:solidFill>
          </w14:textFill>
        </w:rPr>
        <w:t>为核心</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的商文旅康养融合商圈，</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创建国家级旅游度假区</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。建设高质量一刻钟便民生活圈，</w:t>
      </w:r>
      <w:r>
        <w:rPr>
          <w:rFonts w:hint="default" w:ascii="Times New Roman" w:hAnsi="Times New Roman" w:eastAsia="仿宋_GB2312" w:cs="Times New Roman"/>
          <w:b w:val="0"/>
          <w:bCs w:val="0"/>
          <w:strike w:val="0"/>
          <w:dstrike w:val="0"/>
          <w:color w:val="000000" w:themeColor="text1"/>
          <w:kern w:val="2"/>
          <w:sz w:val="32"/>
          <w:szCs w:val="32"/>
          <w:highlight w:val="none"/>
          <w:shd w:val="clear" w:color="auto" w:fill="auto"/>
          <w:lang w:val="en-US" w:eastAsia="zh-CN" w:bidi="ar-SA"/>
          <w14:textFill>
            <w14:solidFill>
              <w14:schemeClr w14:val="tx1"/>
            </w14:solidFill>
          </w14:textFill>
        </w:rPr>
        <w:t>依托10个便民生活圈试点，</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发展品质提升类业态</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牵头单位：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商务局，</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配合单位：</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各</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街道园区</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14:paraId="0588384B">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（三）</w:t>
      </w:r>
      <w:r>
        <w:rPr>
          <w:rFonts w:hint="eastAsia"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联动</w:t>
      </w:r>
      <w:r>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滨海机场站片区，推进站产城融合</w:t>
      </w:r>
    </w:p>
    <w:p w14:paraId="41A22095">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3</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主动配合保税区，做好滨海机场站片区融合发展工作，依托天开东丽园政策优势，发展低空经济、商业航空航天、跨境电商等特色产业，强化功能互补、设施衔接与政策协同。深化与民航大学等高校院所合作，推动科技成果就地转化。</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住建委、运管局、科技局、规资分局、临空经济区</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6C172A2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right="0" w:firstLine="640" w:firstLineChars="200"/>
        <w:jc w:val="both"/>
        <w:textAlignment w:val="auto"/>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（四）</w:t>
      </w:r>
      <w:r>
        <w:rPr>
          <w:rFonts w:hint="eastAsia"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依托</w:t>
      </w:r>
      <w:r>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军粮城北站片区</w:t>
      </w:r>
      <w:r>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，加快引聚新业态</w:t>
      </w:r>
    </w:p>
    <w:p w14:paraId="68998B1B">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4</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.发挥</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军粮城北站</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交通枢纽作用，</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围绕智能装备制造、高端关键零部件等产业基础，聚焦研发设计、现代物流等生产性服务业态，打造高能级产业集群。依托玉湖冷链</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项目</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，强化智慧物流与冷链仓储服务，建设国家级冷链食品流通枢纽。挖掘军粮城漕运、屯粮文化，对旧厂房进行旅游化改造，串联东丽湖生态资源，发展文旅融合服务业</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住建委、运管局、商务局、文旅体局、规资分局、军粮城街、东丽湖街</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676C73B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right="0" w:firstLine="640" w:firstLineChars="200"/>
        <w:jc w:val="both"/>
        <w:textAlignment w:val="auto"/>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楷体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（五）盘活闲置载体，做优发展增量</w:t>
      </w:r>
    </w:p>
    <w:p w14:paraId="158CA048">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5</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.对接优质运营方把闲置载体改造为“孵化+生产”“办公+商务”的高品质产业空间，导入更多科创、文旅</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等</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服务业态。加快天开东丽园C区、丽健园、新业广场等项目提质改造，重点布局低空经济、医疗康养、商业消费等服务业态。</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商务局、东丽湖街、经开区、临空经济区</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16D6E34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right="0" w:firstLine="640" w:firstLineChars="200"/>
        <w:jc w:val="both"/>
        <w:textAlignment w:val="auto"/>
        <w:rPr>
          <w:rFonts w:hint="default" w:ascii="Times New Roman" w:hAnsi="Times New Roman" w:eastAsia="黑体" w:cs="Times New Roman"/>
          <w:b w:val="0"/>
          <w:bCs w:val="0"/>
          <w:i w:val="0"/>
          <w:iCs w:val="0"/>
          <w:caps w:val="0"/>
          <w:strike w:val="0"/>
          <w:color w:val="000000" w:themeColor="text1"/>
          <w:spacing w:val="0"/>
          <w:sz w:val="32"/>
          <w:szCs w:val="32"/>
          <w:highlight w:val="none"/>
          <w:u w:val="none"/>
          <w:shd w:val="clear" w:color="auto" w:fill="auto"/>
          <w14:textFill>
            <w14:solidFill>
              <w14:schemeClr w14:val="tx1"/>
            </w14:solidFill>
          </w14:textFill>
        </w:rPr>
      </w:pPr>
      <w:r>
        <w:rPr>
          <w:rFonts w:hint="default" w:ascii="Times New Roman" w:hAnsi="Times New Roman" w:eastAsia="黑体"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四</w:t>
      </w:r>
      <w:r>
        <w:rPr>
          <w:rFonts w:hint="default" w:ascii="Times New Roman" w:hAnsi="Times New Roman" w:eastAsia="黑体" w:cs="Times New Roman"/>
          <w:b w:val="0"/>
          <w:bCs w:val="0"/>
          <w:i w:val="0"/>
          <w:iCs w:val="0"/>
          <w:caps w:val="0"/>
          <w:strike w:val="0"/>
          <w:color w:val="000000" w:themeColor="text1"/>
          <w:spacing w:val="0"/>
          <w:sz w:val="32"/>
          <w:szCs w:val="32"/>
          <w:highlight w:val="none"/>
          <w:u w:val="none"/>
          <w:shd w:val="clear" w:color="auto" w:fill="auto"/>
          <w14:textFill>
            <w14:solidFill>
              <w14:schemeClr w14:val="tx1"/>
            </w14:solidFill>
          </w14:textFill>
        </w:rPr>
        <w:t>、优化服务业发展环境</w:t>
      </w:r>
    </w:p>
    <w:p w14:paraId="2CC880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pPr>
      <w:r>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（一）推动“制造＋服务”双向延伸</w:t>
      </w:r>
    </w:p>
    <w:p w14:paraId="7DA38BBE">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6</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深化先进制造业与现代服务业融合发展，依托东丽区“6+5+X”产业体系，推动高端装备制造、航空航天等领域的骨干企业加快战略转型，从产品制造商向“产品+服务”一体化解决方案提供商跃升，全面提升研发设计、生产制造等全生命周期服务能力。强化生产性服务企业对制造业企业的赋能与增值作用。</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发改委、工信局，</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科技局、运管局、商务局、财政局</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7ED1CFC3">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pPr>
      <w:r>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（二）全方位服务推动项目建设</w:t>
      </w:r>
    </w:p>
    <w:p w14:paraId="2C06F9C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default" w:ascii="Times New Roman" w:hAnsi="Times New Roman" w:eastAsia="仿宋_GB2312" w:cs="Times New Roman"/>
          <w:b w:val="0"/>
          <w:bCs w:val="0"/>
          <w:i w:val="0"/>
          <w:iCs w:val="0"/>
          <w:caps w:val="0"/>
          <w:strike/>
          <w:dstrike w:val="0"/>
          <w:color w:val="000000" w:themeColor="text1"/>
          <w:spacing w:val="0"/>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2</w:t>
      </w:r>
      <w:r>
        <w:rPr>
          <w:rFonts w:hint="eastAsia" w:ascii="Times New Roman" w:hAnsi="Times New Roman" w:eastAsia="仿宋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7</w:t>
      </w:r>
      <w:r>
        <w:rPr>
          <w:rFonts w:hint="default" w:ascii="Times New Roman" w:hAnsi="Times New Roman" w:eastAsia="仿宋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.持续优化项目包联等全流程服务保障体系，统筹落实重点项目资金、土地等要素保障。加快项目建设进</w:t>
      </w:r>
      <w:r>
        <w:rPr>
          <w:rFonts w:hint="default" w:ascii="Times New Roman" w:hAnsi="Times New Roman" w:eastAsia="仿宋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度，力争2027</w:t>
      </w:r>
      <w:r>
        <w:rPr>
          <w:rFonts w:hint="default" w:ascii="Times New Roman" w:hAnsi="Times New Roman" w:eastAsia="仿宋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年中汽研新能源检测基地二期竣工投产、2028年中汽智能网联科技创新基地竣工投产，加快推动山姆会员店、金隅嘉品Mall等生活性服务业项目竣工投</w:t>
      </w:r>
      <w:r>
        <w:rPr>
          <w:rFonts w:hint="default" w:ascii="Times New Roman" w:hAnsi="Times New Roman" w:eastAsia="仿宋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运</w:t>
      </w:r>
      <w:r>
        <w:rPr>
          <w:rFonts w:hint="default" w:ascii="Times New Roman" w:hAnsi="Times New Roman" w:eastAsia="仿宋_GB2312" w:cs="Times New Roman"/>
          <w:b w:val="0"/>
          <w:bCs w:val="0"/>
          <w:i w:val="0"/>
          <w:iCs w:val="0"/>
          <w:caps w:val="0"/>
          <w:strike w:val="0"/>
          <w:color w:val="000000" w:themeColor="text1"/>
          <w:spacing w:val="0"/>
          <w:sz w:val="32"/>
          <w:szCs w:val="32"/>
          <w:highlight w:val="none"/>
          <w:u w:val="none"/>
          <w:shd w:val="clear" w:color="auto" w:fill="auto"/>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住建委、政务服务办、工信局、商务局、规资分局、万新街、经开区</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22E7171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pPr>
      <w:r>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（三）加快应用场景创新</w:t>
      </w:r>
    </w:p>
    <w:p w14:paraId="1460D137">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8</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围绕智能驾驶、数字文旅、低空经济等新领域新赛道，深度挖掘差异化、特色化场景。智能驾驶领域，搭建智能驾驶封闭测试、开放道路示范应用场景，推动智能驾驶技术验证与商业化落地；数字文旅领域，结合东丽湖生态文旅资源，拓展AI智慧景区等消费场景；低空经济领域，依托天开东丽园等核心板块，重点拓展物流配送、低空文旅等多元商业化场景。</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工信局、科技局、经开区、临空经济区、东丽湖街</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2F9B5C1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pPr>
      <w:r>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（四）扩大主体规模培育优质品牌</w:t>
      </w:r>
    </w:p>
    <w:p w14:paraId="09C596B8">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pPr>
      <w:r>
        <w:rPr>
          <w:rFonts w:hint="eastAsia" w:ascii="Times New Roman" w:hAnsi="Times New Roman" w:eastAsia="仿宋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29</w:t>
      </w:r>
      <w:r>
        <w:rPr>
          <w:rFonts w:hint="default" w:ascii="Times New Roman" w:hAnsi="Times New Roman" w:eastAsia="仿宋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加大服务业企业梯度培育力度，引育特色服务品牌，依托国家公共检验检测认证服务平台和天开东丽园企业赋能中心，培育检验检测、科技服务等行业标杆，巩固产业集聚优势。推进新业广场焕新改造，引进品牌餐饮零售等升级业态，丰富生活性服务业品牌矩阵。</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发改委，</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配合单位：农业农村委</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、市场监管局、商务局、经开区、临空经济区</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p w14:paraId="683EA23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pPr>
      <w:r>
        <w:rPr>
          <w:rFonts w:hint="default" w:ascii="Times New Roman" w:hAnsi="Times New Roman" w:eastAsia="楷体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（五）提升服务业企业发展软环境</w:t>
      </w:r>
    </w:p>
    <w:p w14:paraId="0F42F133">
      <w:pPr>
        <w:pStyle w:val="6"/>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u w:val="none"/>
          <w:shd w:val="clear" w:color="auto" w:fill="auto"/>
          <w:lang w:val="en-US" w:eastAsia="zh-CN" w:bidi="ar-SA"/>
          <w14:textFill>
            <w14:solidFill>
              <w14:schemeClr w14:val="tx1"/>
            </w14:solidFill>
          </w14:textFill>
        </w:rPr>
        <w:t>3</w:t>
      </w:r>
      <w:r>
        <w:rPr>
          <w:rFonts w:hint="eastAsia" w:ascii="Times New Roman" w:hAnsi="Times New Roman" w:eastAsia="仿宋_GB2312" w:cs="Times New Roman"/>
          <w:b w:val="0"/>
          <w:bCs w:val="0"/>
          <w:color w:val="000000" w:themeColor="text1"/>
          <w:kern w:val="2"/>
          <w:sz w:val="32"/>
          <w:szCs w:val="32"/>
          <w:highlight w:val="none"/>
          <w:u w:val="none"/>
          <w:shd w:val="clear" w:color="auto" w:fill="auto"/>
          <w:lang w:val="en-US" w:eastAsia="zh-CN" w:bidi="ar-SA"/>
          <w14:textFill>
            <w14:solidFill>
              <w14:schemeClr w14:val="tx1"/>
            </w14:solidFill>
          </w14:textFill>
        </w:rPr>
        <w:t>0</w:t>
      </w:r>
      <w:r>
        <w:rPr>
          <w:rFonts w:hint="default" w:ascii="Times New Roman" w:hAnsi="Times New Roman" w:eastAsia="仿宋_GB2312" w:cs="Times New Roman"/>
          <w:b w:val="0"/>
          <w:bCs w:val="0"/>
          <w:color w:val="000000" w:themeColor="text1"/>
          <w:kern w:val="2"/>
          <w:sz w:val="32"/>
          <w:szCs w:val="32"/>
          <w:highlight w:val="none"/>
          <w:u w:val="none"/>
          <w:shd w:val="clear" w:color="auto" w:fill="auto"/>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u w:val="none"/>
          <w:shd w:val="clear" w:color="auto" w:fill="auto"/>
          <w:lang w:val="en" w:eastAsia="zh-CN" w:bidi="ar-SA"/>
          <w14:textFill>
            <w14:solidFill>
              <w14:schemeClr w14:val="tx1"/>
            </w14:solidFill>
          </w14:textFill>
        </w:rPr>
        <w:t>深化“高效办成一件事”改革，建强“宜商驿站”</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，落实</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政企同行</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有需必应</w:t>
      </w:r>
      <w:r>
        <w:rPr>
          <w:rFonts w:hint="default" w:ascii="Times New Roman" w:hAnsi="Times New Roman" w:eastAsia="仿宋_GB2312" w:cs="Times New Roman"/>
          <w:b w:val="0"/>
          <w:bCs w:val="0"/>
          <w:color w:val="000000" w:themeColor="text1"/>
          <w:kern w:val="2"/>
          <w:sz w:val="32"/>
          <w:szCs w:val="32"/>
          <w:highlight w:val="none"/>
          <w:u w:val="none"/>
          <w:shd w:val="clear" w:color="auto" w:fill="auto"/>
          <w:lang w:val="en"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工作机制。</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在低风险领域推行“自我声明+公开承诺”监管模式，依法实施“首违不罚、轻微免罚”</w:t>
      </w:r>
      <w:r>
        <w:rPr>
          <w:rFonts w:hint="default" w:ascii="Times New Roman" w:hAnsi="Times New Roman" w:eastAsia="仿宋_GB2312" w:cs="Times New Roman"/>
          <w:b w:val="0"/>
          <w:bCs w:val="0"/>
          <w:i w:val="0"/>
          <w:iCs w:val="0"/>
          <w:caps w:val="0"/>
          <w:strike w:val="0"/>
          <w:color w:val="000000" w:themeColor="text1"/>
          <w:spacing w:val="0"/>
          <w:kern w:val="2"/>
          <w:sz w:val="32"/>
          <w:szCs w:val="32"/>
          <w:highlight w:val="none"/>
          <w:u w:val="none"/>
          <w:shd w:val="clear" w:color="auto" w:fill="auto"/>
          <w:lang w:val="en-US" w:eastAsia="zh-CN" w:bidi="ar-SA"/>
          <w14:textFill>
            <w14:solidFill>
              <w14:schemeClr w14:val="tx1"/>
            </w14:solidFill>
          </w14:textFill>
        </w:rPr>
        <w:t>。实施信用分级分类监管，为服务业提质扩容营造稳定公平、高效暖心的营商软环境。</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牵头单位：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政务服务办，</w:t>
      </w:r>
      <w:r>
        <w:rPr>
          <w:rFonts w:hint="eastAsia"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配合单位：</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US" w:eastAsia="zh-CN"/>
          <w14:textFill>
            <w14:solidFill>
              <w14:schemeClr w14:val="tx1"/>
            </w14:solidFill>
          </w14:textFill>
        </w:rPr>
        <w:t>市场监管局、司法局</w:t>
      </w:r>
      <w:r>
        <w:rPr>
          <w:rFonts w:hint="default" w:ascii="Times New Roman" w:hAnsi="Times New Roman" w:eastAsia="仿宋_GB2312" w:cs="Times New Roman"/>
          <w:b w:val="0"/>
          <w:bCs w:val="0"/>
          <w:color w:val="000000" w:themeColor="text1"/>
          <w:sz w:val="32"/>
          <w:szCs w:val="32"/>
          <w:highlight w:val="none"/>
          <w:u w:val="none"/>
          <w:shd w:val="clear" w:color="auto" w:fill="auto"/>
          <w:lang w:val="en" w:eastAsia="zh-CN"/>
          <w14:textFill>
            <w14:solidFill>
              <w14:schemeClr w14:val="tx1"/>
            </w14:solidFill>
          </w14:textFill>
        </w:rPr>
        <w:t>）</w:t>
      </w:r>
    </w:p>
    <w:sectPr>
      <w:footerReference r:id="rId3" w:type="default"/>
      <w:pgSz w:w="11906" w:h="16838"/>
      <w:pgMar w:top="2098" w:right="1474" w:bottom="1984" w:left="1587" w:header="851" w:footer="158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6C6C75-0977-49B6-AB7D-E62B8704B3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文星仿宋">
    <w:altName w:val="仿宋"/>
    <w:panose1 w:val="00000000000000000000"/>
    <w:charset w:val="00"/>
    <w:family w:val="auto"/>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6EFF3A0E-EBD7-4ABA-BFE5-0561547529B2}"/>
  </w:font>
  <w:font w:name="方正小标宋简体">
    <w:panose1 w:val="02000000000000000000"/>
    <w:charset w:val="86"/>
    <w:family w:val="script"/>
    <w:pitch w:val="default"/>
    <w:sig w:usb0="00000001" w:usb1="080E0000" w:usb2="00000000" w:usb3="00000000" w:csb0="00040000" w:csb1="00000000"/>
    <w:embedRegular r:id="rId3" w:fontKey="{25C641EB-BB41-4113-BFC7-B48CB131B96D}"/>
  </w:font>
  <w:font w:name="楷体_GB2312">
    <w:panose1 w:val="02010609030101010101"/>
    <w:charset w:val="86"/>
    <w:family w:val="modern"/>
    <w:pitch w:val="default"/>
    <w:sig w:usb0="00000001" w:usb1="080E0000" w:usb2="00000000" w:usb3="00000000" w:csb0="00040000" w:csb1="00000000"/>
    <w:embedRegular r:id="rId4" w:fontKey="{4AEDA27A-FA2B-4A53-B855-475B8C5E3671}"/>
  </w:font>
  <w:font w:name="Times New Roman Regular">
    <w:altName w:val="Times New Roman"/>
    <w:panose1 w:val="02020603050405020304"/>
    <w:charset w:val="00"/>
    <w:family w:val="auto"/>
    <w:pitch w:val="default"/>
    <w:sig w:usb0="00000000" w:usb1="00000000" w:usb2="00000009" w:usb3="00000000" w:csb0="400001FF" w:csb1="FFFF0000"/>
    <w:embedRegular r:id="rId5" w:fontKey="{3127C234-A241-40E1-8527-E2FFB3C85EBB}"/>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32C9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C622D">
                          <w:pPr>
                            <w:pStyle w:val="7"/>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- 1 -</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FC622D">
                    <w:pPr>
                      <w:pStyle w:val="7"/>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- 1 -</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xYTU2ZWNhZTYwMzhlMTc5OWMxMTQ0OWE3MGQwZDIifQ=="/>
  </w:docVars>
  <w:rsids>
    <w:rsidRoot w:val="0BC14C13"/>
    <w:rsid w:val="0113796E"/>
    <w:rsid w:val="021D3CF9"/>
    <w:rsid w:val="03C874C4"/>
    <w:rsid w:val="04251A8C"/>
    <w:rsid w:val="0519537F"/>
    <w:rsid w:val="05A0746B"/>
    <w:rsid w:val="05BB42A5"/>
    <w:rsid w:val="06824DC3"/>
    <w:rsid w:val="06954AF6"/>
    <w:rsid w:val="0696086E"/>
    <w:rsid w:val="08713EB9"/>
    <w:rsid w:val="09AD764A"/>
    <w:rsid w:val="0BC14C13"/>
    <w:rsid w:val="0C65313F"/>
    <w:rsid w:val="0DDB6B2C"/>
    <w:rsid w:val="116A4DD1"/>
    <w:rsid w:val="14D50E30"/>
    <w:rsid w:val="14DB6A52"/>
    <w:rsid w:val="15673B02"/>
    <w:rsid w:val="164F55A4"/>
    <w:rsid w:val="19004393"/>
    <w:rsid w:val="19E641DE"/>
    <w:rsid w:val="1A9469A8"/>
    <w:rsid w:val="1BCC2910"/>
    <w:rsid w:val="1C5F18F6"/>
    <w:rsid w:val="1EEB0794"/>
    <w:rsid w:val="200201D8"/>
    <w:rsid w:val="22555456"/>
    <w:rsid w:val="2336136A"/>
    <w:rsid w:val="252E0198"/>
    <w:rsid w:val="260333D3"/>
    <w:rsid w:val="26647219"/>
    <w:rsid w:val="26A66F1B"/>
    <w:rsid w:val="279F0E2F"/>
    <w:rsid w:val="28EE4234"/>
    <w:rsid w:val="2EF277F8"/>
    <w:rsid w:val="312B52BA"/>
    <w:rsid w:val="31B47C77"/>
    <w:rsid w:val="354F00C8"/>
    <w:rsid w:val="35C82F31"/>
    <w:rsid w:val="362353CB"/>
    <w:rsid w:val="3B00744D"/>
    <w:rsid w:val="3C373EC3"/>
    <w:rsid w:val="3CEA248D"/>
    <w:rsid w:val="3CFBFBB7"/>
    <w:rsid w:val="3E3F2795"/>
    <w:rsid w:val="420A743F"/>
    <w:rsid w:val="430C4F35"/>
    <w:rsid w:val="445577D5"/>
    <w:rsid w:val="44D83DC2"/>
    <w:rsid w:val="489D3E85"/>
    <w:rsid w:val="4D357A66"/>
    <w:rsid w:val="4F7D5273"/>
    <w:rsid w:val="50253DAB"/>
    <w:rsid w:val="508A00C9"/>
    <w:rsid w:val="51A056CA"/>
    <w:rsid w:val="52764959"/>
    <w:rsid w:val="53913DBB"/>
    <w:rsid w:val="5520600A"/>
    <w:rsid w:val="559612BE"/>
    <w:rsid w:val="561A3C9D"/>
    <w:rsid w:val="56F06DBD"/>
    <w:rsid w:val="580527A3"/>
    <w:rsid w:val="583F1621"/>
    <w:rsid w:val="5AF56A87"/>
    <w:rsid w:val="5B00216C"/>
    <w:rsid w:val="5D942587"/>
    <w:rsid w:val="6082700E"/>
    <w:rsid w:val="633218C8"/>
    <w:rsid w:val="63440544"/>
    <w:rsid w:val="67881AEE"/>
    <w:rsid w:val="68DA5BF0"/>
    <w:rsid w:val="6D517B56"/>
    <w:rsid w:val="6DDD5884"/>
    <w:rsid w:val="6FD04716"/>
    <w:rsid w:val="75A84046"/>
    <w:rsid w:val="768E172D"/>
    <w:rsid w:val="76FA1255"/>
    <w:rsid w:val="76FEEEAE"/>
    <w:rsid w:val="797C6979"/>
    <w:rsid w:val="7CA41838"/>
    <w:rsid w:val="7D726ADF"/>
    <w:rsid w:val="7EB02A36"/>
    <w:rsid w:val="7F8474EA"/>
    <w:rsid w:val="BABD0051"/>
    <w:rsid w:val="EFEFCCD1"/>
    <w:rsid w:val="FAFF2942"/>
    <w:rsid w:val="FF5FA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eastAsia="文星仿宋"/>
      <w:sz w:val="32"/>
    </w:rPr>
  </w:style>
  <w:style w:type="paragraph" w:styleId="5">
    <w:name w:val="Normal Indent"/>
    <w:basedOn w:val="1"/>
    <w:qFormat/>
    <w:uiPriority w:val="0"/>
    <w:pPr>
      <w:ind w:firstLine="420"/>
    </w:pPr>
    <w:rPr>
      <w:rFonts w:ascii="宋体" w:hAnsi="Courier New" w:eastAsia="仿宋_GB2312" w:cs="仿宋_GB2312"/>
      <w:kern w:val="0"/>
      <w:sz w:val="20"/>
      <w:szCs w:val="20"/>
    </w:rPr>
  </w:style>
  <w:style w:type="paragraph" w:styleId="6">
    <w:name w:val="Body Text Indent"/>
    <w:basedOn w:val="1"/>
    <w:qFormat/>
    <w:uiPriority w:val="0"/>
    <w:pPr>
      <w:ind w:firstLine="720" w:firstLineChars="225"/>
    </w:pPr>
    <w:rPr>
      <w:sz w:val="32"/>
      <w:szCs w:val="20"/>
    </w:rPr>
  </w:style>
  <w:style w:type="paragraph" w:styleId="7">
    <w:name w:val="footer"/>
    <w:basedOn w:val="1"/>
    <w:next w:val="1"/>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Title"/>
    <w:qFormat/>
    <w:uiPriority w:val="0"/>
    <w:pPr>
      <w:spacing w:line="570" w:lineRule="exact"/>
      <w:jc w:val="center"/>
    </w:pPr>
    <w:rPr>
      <w:rFonts w:ascii="方正小标宋简体" w:hAnsi="Cambria" w:eastAsia="方正小标宋简体" w:cs="Times New Roman"/>
      <w:bCs/>
      <w:sz w:val="44"/>
      <w:szCs w:val="32"/>
      <w:lang w:val="en-US" w:eastAsia="zh-CN" w:bidi="ar-SA"/>
    </w:rPr>
  </w:style>
  <w:style w:type="character" w:styleId="13">
    <w:name w:val="Strong"/>
    <w:basedOn w:val="12"/>
    <w:qFormat/>
    <w:uiPriority w:val="0"/>
    <w:rPr>
      <w:b/>
    </w:rPr>
  </w:style>
  <w:style w:type="character" w:styleId="14">
    <w:name w:val="page number"/>
    <w:basedOn w:val="12"/>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5235</Words>
  <Characters>5339</Characters>
  <Lines>0</Lines>
  <Paragraphs>0</Paragraphs>
  <TotalTime>3</TotalTime>
  <ScaleCrop>false</ScaleCrop>
  <LinksUpToDate>false</LinksUpToDate>
  <CharactersWithSpaces>5354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2026-05-21T02:27:00Z</dcterms:created>
  <dc:creator>裤蕤</dc:creator>
  <cp:lastModifiedBy>行者</cp:lastModifiedBy>
  <cp:lastPrinted>2026-05-29T10:13:00Z</cp:lastPrinted>
  <dcterms:modified xsi:type="dcterms:W3CDTF">2026-07-03T07:03:07Z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E1E89A269C4740F4AE57CED8B039ECE9_13</vt:lpwstr>
  </property>
  <property fmtid="{D5CDD505-2E9C-101B-9397-08002B2CF9AE}" pid="4" name="KSOTemplateDocerSaveRecord">
    <vt:lpwstr>eyJoZGlkIjoiMGU1NDNmNGVmMDI0ZjlhYzYwN2E0Yjc3ZmI2YjcxMGQiLCJ1c2VySWQiOiI2NDkyMjE3OTQifQ==</vt:lpwstr>
  </property>
</Properties>
</file>