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308FF">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28066214">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23B9D5AA">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1D227E27">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2F7C37EB">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pPr>
      <w:bookmarkStart w:id="52" w:name="_GoBack"/>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东丽政办规〔2026〕1号</w:t>
      </w:r>
    </w:p>
    <w:p w14:paraId="370F5E5F">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2D89B9F5">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p>
    <w:p w14:paraId="1F0AF808">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r>
        <w:rPr>
          <w:rFonts w:hint="eastAsia" w:hAnsi="方正小标宋简体" w:eastAsia="方正小标宋简体"/>
          <w:color w:val="000000" w:themeColor="text1"/>
          <w:sz w:val="44"/>
          <w:szCs w:val="44"/>
          <w:highlight w:val="none"/>
          <w14:textFill>
            <w14:solidFill>
              <w14:schemeClr w14:val="tx1"/>
            </w14:solidFill>
          </w14:textFill>
        </w:rPr>
        <w:t>东丽区人民政府办公室关于印发</w:t>
      </w:r>
    </w:p>
    <w:p w14:paraId="0F6AEEC6">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jc w:val="center"/>
        <w:textAlignment w:val="auto"/>
        <w:rPr>
          <w:rFonts w:hint="eastAsia" w:hAnsi="方正小标宋简体" w:eastAsia="方正小标宋简体"/>
          <w:color w:val="000000" w:themeColor="text1"/>
          <w:sz w:val="44"/>
          <w:szCs w:val="44"/>
          <w:highlight w:val="none"/>
          <w14:textFill>
            <w14:solidFill>
              <w14:schemeClr w14:val="tx1"/>
            </w14:solidFill>
          </w14:textFill>
        </w:rPr>
      </w:pPr>
      <w:r>
        <w:rPr>
          <w:rFonts w:hint="eastAsia" w:hAnsi="方正小标宋简体" w:eastAsia="方正小标宋简体"/>
          <w:color w:val="000000" w:themeColor="text1"/>
          <w:sz w:val="44"/>
          <w:szCs w:val="44"/>
          <w:highlight w:val="none"/>
          <w14:textFill>
            <w14:solidFill>
              <w14:schemeClr w14:val="tx1"/>
            </w14:solidFill>
          </w14:textFill>
        </w:rPr>
        <w:t>东丽区公共数据资源授权运营实施方案的通知</w:t>
      </w:r>
    </w:p>
    <w:p w14:paraId="7ADB445B">
      <w:pPr>
        <w:keepNext w:val="0"/>
        <w:keepLines w:val="0"/>
        <w:pageBreakBefore w:val="0"/>
        <w:widowControl w:val="0"/>
        <w:shd w:val="clear" w:color="auto" w:fill="auto"/>
        <w:kinsoku/>
        <w:overflowPunct/>
        <w:topLinePunct w:val="0"/>
        <w:autoSpaceDE/>
        <w:autoSpaceDN/>
        <w:bidi w:val="0"/>
        <w:adjustRightInd w:val="0"/>
        <w:snapToGrid w:val="0"/>
        <w:spacing w:line="560" w:lineRule="exact"/>
        <w:ind w:left="0" w:leftChars="0"/>
        <w:textAlignment w:val="auto"/>
        <w:rPr>
          <w:rFonts w:hint="default" w:ascii="Times New Roman" w:hAnsi="Times New Roman" w:cs="Times New Roman"/>
          <w:b w:val="0"/>
          <w:bCs w:val="0"/>
          <w:color w:val="000000" w:themeColor="text1"/>
          <w:kern w:val="0"/>
          <w:sz w:val="32"/>
          <w:szCs w:val="32"/>
          <w:highlight w:val="none"/>
          <w14:textFill>
            <w14:solidFill>
              <w14:schemeClr w14:val="tx1"/>
            </w14:solidFill>
          </w14:textFill>
        </w:rPr>
      </w:pPr>
    </w:p>
    <w:p w14:paraId="60A607E6">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各街道办事处，各委、办、局，各直属单位：</w:t>
      </w:r>
    </w:p>
    <w:p w14:paraId="76B2FF9C">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经区人民政府同意，现将</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《东丽区公共数据资源授权运营实施方案》印发给你们，请遵照执行。</w:t>
      </w:r>
    </w:p>
    <w:p w14:paraId="29E0A492">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p>
    <w:p w14:paraId="6B7EFEA3">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p>
    <w:p w14:paraId="1FCAE51B">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p>
    <w:p w14:paraId="61A74D44">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pacing w:line="560" w:lineRule="exact"/>
        <w:jc w:val="right"/>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天津市东丽区人民政府办公室</w:t>
      </w:r>
    </w:p>
    <w:p w14:paraId="57AB88B0">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pacing w:line="560" w:lineRule="exact"/>
        <w:ind w:firstLine="5440" w:firstLineChars="1700"/>
        <w:jc w:val="both"/>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202</w:t>
      </w:r>
      <w:r>
        <w:rPr>
          <w:rFonts w:hint="default" w:ascii="Times New Roman" w:hAnsi="Times New Roman" w:cs="Times New Roman"/>
          <w:color w:val="000000" w:themeColor="text1"/>
          <w:kern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年</w:t>
      </w:r>
      <w:r>
        <w:rPr>
          <w:rFonts w:hint="default" w:ascii="Times New Roman" w:hAnsi="Times New Roman" w:cs="Times New Roman"/>
          <w:color w:val="000000" w:themeColor="text1"/>
          <w:kern w:val="0"/>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月</w:t>
      </w:r>
      <w:r>
        <w:rPr>
          <w:rFonts w:hint="eastAsia" w:ascii="Times New Roman" w:hAnsi="Times New Roman" w:cs="Times New Roman"/>
          <w:color w:val="000000" w:themeColor="text1"/>
          <w:kern w:val="0"/>
          <w:sz w:val="32"/>
          <w:szCs w:val="32"/>
          <w:highlight w:val="none"/>
          <w:lang w:val="en-US" w:eastAsia="zh-CN"/>
          <w14:textFill>
            <w14:solidFill>
              <w14:schemeClr w14:val="tx1"/>
            </w14:solidFill>
          </w14:textFill>
        </w:rPr>
        <w:t>13</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日</w:t>
      </w:r>
    </w:p>
    <w:p w14:paraId="5BDB0614">
      <w:pPr>
        <w:keepNext w:val="0"/>
        <w:keepLines w:val="0"/>
        <w:pageBreakBefore w:val="0"/>
        <w:widowControl w:val="0"/>
        <w:shd w:val="clear" w:color="auto" w:fill="auto"/>
        <w:tabs>
          <w:tab w:val="left" w:pos="414"/>
          <w:tab w:val="center" w:pos="4422"/>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小标宋简体" w:cs="Times New Roman"/>
          <w:color w:val="000000" w:themeColor="text1"/>
          <w:sz w:val="72"/>
          <w:szCs w:val="72"/>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（此件主动公开）</w:t>
      </w:r>
    </w:p>
    <w:p w14:paraId="0DEE9CB2">
      <w:pPr>
        <w:spacing w:line="560" w:lineRule="exact"/>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083E4D31">
      <w:pPr>
        <w:spacing w:line="560" w:lineRule="exact"/>
        <w:jc w:val="center"/>
        <w:rPr>
          <w:rFonts w:hint="default" w:ascii="Times New Roman" w:hAnsi="Times New Roman" w:eastAsia="方正小标宋简体" w:cs="Times New Roman"/>
          <w:color w:val="000000" w:themeColor="text1"/>
          <w:sz w:val="44"/>
          <w:szCs w:val="44"/>
          <w:lang w:val="en"/>
          <w14:textFill>
            <w14:solidFill>
              <w14:schemeClr w14:val="tx1"/>
            </w14:solidFill>
          </w14:textFill>
        </w:rPr>
      </w:pPr>
      <w:bookmarkStart w:id="0" w:name="_Toc1288578367"/>
      <w:r>
        <w:rPr>
          <w:rFonts w:hint="default" w:ascii="Times New Roman" w:hAnsi="Times New Roman" w:eastAsia="方正小标宋简体" w:cs="Times New Roman"/>
          <w:color w:val="000000" w:themeColor="text1"/>
          <w:sz w:val="44"/>
          <w:szCs w:val="44"/>
          <w:lang w:val="en"/>
          <w14:textFill>
            <w14:solidFill>
              <w14:schemeClr w14:val="tx1"/>
            </w14:solidFill>
          </w14:textFill>
        </w:rPr>
        <w:t>东丽区公共数据资源授权运营实施方案</w:t>
      </w:r>
    </w:p>
    <w:bookmarkEnd w:id="0"/>
    <w:p w14:paraId="300F33E4">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7D4505B6">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深入贯彻国家关于数据要素市场化配置和公共数据资源开发利用的决策部署，全面落实天津市关于公共数据资源授权运营试点管理、登记管理、开发利用安全管理等政策要求，规范推进公共数据资源授权运营工作，推动东丽区深度参与天津市数字经济创新发展试验区建设，加快释放区域公共数据资源价值，结合我区实际，制定本实施方案。</w:t>
      </w:r>
    </w:p>
    <w:p w14:paraId="56E672DB">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1" w:name="_Toc1911517821"/>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一、授权运营名称</w:t>
      </w:r>
      <w:bookmarkEnd w:id="1"/>
    </w:p>
    <w:p w14:paraId="2CE619B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东丽区公共数据资源授权运营，是指将区人民政府、区行业主管部门持有的公共数据资源，按照法律法规和相关要求，授权符合条件的运营机构进行治理、开发，并面向市场公平提供数据产品和技术服务的活动。</w:t>
      </w:r>
    </w:p>
    <w:p w14:paraId="47658C5D">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实施机构，是指由区人民政府结合授权模式确定的、具体负责组织开展授权运营活动的单位。</w:t>
      </w:r>
    </w:p>
    <w:p w14:paraId="6007218D">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运营机构，是指按照规范程序获得授权，对授权范围内的公共数据资源进行开发运营的法人组织。</w:t>
      </w:r>
    </w:p>
    <w:p w14:paraId="5717AFFD">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2" w:name="_Toc1665747918"/>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二、运营机构基本要求</w:t>
      </w:r>
      <w:bookmarkEnd w:id="2"/>
    </w:p>
    <w:p w14:paraId="4F772F92">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实施机构通过公开招标、邀请招标、谈判等公平竞争方式选择运营机构。应满足以下基本要求：</w:t>
      </w:r>
    </w:p>
    <w:p w14:paraId="6B48F43F">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依法设立并有效存续，法人治理结构健全，内部管理制度完善，经营状况良好，信用记录良好，具备持续投入能力和风险承受能力。</w:t>
      </w:r>
    </w:p>
    <w:p w14:paraId="0084140D">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具备公共数据资源治理开发和运营服务能力，能够支撑数据汇聚治理、产品服务形成、运营推广和持续服务保障等工作。</w:t>
      </w:r>
    </w:p>
    <w:p w14:paraId="19207A92">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具备健全的数据安全管理体系和安全保障能力，落实数据分类分级、重要数据保护和个人信息保护等要求，系统建设和运维符合网络安全等级保护要求，近3年未发生网络安全、数据安全事件。</w:t>
      </w:r>
    </w:p>
    <w:p w14:paraId="34B96E64">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熟悉并遵守公共数据资源管理、授权运营和开发利用相关法律法规及政策规定，能够依法依规开展授权运营活动并主动接受监督管理。</w:t>
      </w:r>
    </w:p>
    <w:p w14:paraId="5A575C3B">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bookmarkStart w:id="3" w:name="OLE_LINK2"/>
      <w:r>
        <w:rPr>
          <w:rFonts w:hint="default" w:ascii="Times New Roman" w:hAnsi="Times New Roman" w:eastAsia="仿宋_GB2312" w:cs="Times New Roman"/>
          <w:color w:val="000000" w:themeColor="text1"/>
          <w:sz w:val="32"/>
          <w:szCs w:val="32"/>
          <w14:textFill>
            <w14:solidFill>
              <w14:schemeClr w14:val="tx1"/>
            </w14:solidFill>
          </w14:textFill>
        </w:rPr>
        <w:t>5.具备对合作机构的管理能力，能够按照授权范围、运营规则和管理要求规范组织实施，确保公共数据产品和服务合规供给、稳定运营。</w:t>
      </w:r>
    </w:p>
    <w:bookmarkEnd w:id="3"/>
    <w:p w14:paraId="1A502603">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4" w:name="_Toc592911190"/>
      <w:bookmarkStart w:id="5" w:name="OLE_LINK91"/>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三、授权运营模式</w:t>
      </w:r>
      <w:bookmarkEnd w:id="4"/>
    </w:p>
    <w:bookmarkEnd w:id="5"/>
    <w:p w14:paraId="1BB5BD1D">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6" w:name="_Toc734248250"/>
      <w:bookmarkStart w:id="7" w:name="OLE_LINK3"/>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（一）分领域授权模式</w:t>
      </w:r>
      <w:bookmarkEnd w:id="6"/>
    </w:p>
    <w:p w14:paraId="33E851ED">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东丽区公共数据资源授权运营采用分领域授权模式，按照公共数据资源管理要求、业务领域边界和应用场景需求，分领域明确数据资源范围、用途边界、服务对象、安全要求和退出安排，依法依规开展数据治理开发和产品服务供给。授权运营不改变公共数据资源持有权归属，运营机构仅在授权范围和约定用途内开展开发运营活动。</w:t>
      </w:r>
    </w:p>
    <w:p w14:paraId="741AB92A">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分领域授权实行清单化管理，授权范围、用途边界、产品服务清单及交付方式等事项在公共数据资源授权运营协议（以下简称“协议”）中明确。涉及共享获得的外部数据用于授权运营的，应按规定征得数据提供单位同意。</w:t>
      </w:r>
    </w:p>
    <w:bookmarkEnd w:id="7"/>
    <w:p w14:paraId="6A4B7EB3">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8" w:name="_Toc1617034920"/>
      <w:bookmarkStart w:id="9" w:name="OLE_LINK20"/>
      <w:bookmarkStart w:id="10" w:name="OLE_LINK93"/>
      <w:r>
        <w:rPr>
          <w:rFonts w:hint="default" w:ascii="Times New Roman" w:hAnsi="Times New Roman" w:eastAsia="楷体_GB2312" w:cs="Times New Roman"/>
          <w:b w:val="0"/>
          <w:color w:val="000000" w:themeColor="text1"/>
          <w:shd w:val="clear" w:color="auto" w:fill="FFFFFF"/>
          <w14:textFill>
            <w14:solidFill>
              <w14:schemeClr w14:val="tx1"/>
            </w14:solidFill>
          </w14:textFill>
        </w:rPr>
        <w:t>（二）授权实施流程</w:t>
      </w:r>
      <w:bookmarkEnd w:id="8"/>
    </w:p>
    <w:bookmarkEnd w:id="9"/>
    <w:p w14:paraId="3341EEE4">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区数据局围绕分领域授权安排，统筹组织授权事项发布、申请受理、审核评估、公示确认、协议签订、动态调整和终止退出等工作。授权实施应坚持公开、公平、公正原则，综合评估申请主体资质能力、应用方向、数据需求、安全保障和风险防控等情况，经审查评估和公示后，依法依规与运营机构签订协议。授权运营期间，涉及新增领域、范围调整、清单变更、协议续签或者终止退出的，应按规定履行相应程序，并做好数据交接、权限关闭、产品下架、资料归档和后续处置。</w:t>
      </w:r>
    </w:p>
    <w:bookmarkEnd w:id="10"/>
    <w:p w14:paraId="3850FE48">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11" w:name="_Toc1561353268"/>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四、授权运营数据资源</w:t>
      </w:r>
      <w:bookmarkEnd w:id="11"/>
    </w:p>
    <w:p w14:paraId="7B4671A2">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12" w:name="_Toc822108847"/>
      <w:bookmarkStart w:id="13" w:name="OLE_LINK95"/>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（一）数据资源范围</w:t>
      </w:r>
      <w:bookmarkEnd w:id="12"/>
    </w:p>
    <w:p w14:paraId="5B53CC71">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授权运营的数据资源范围，是指区各级党政机关、企事业单位依法履职或提供公共服务过程中产生的具有利用价值的数据集合，经审核纳入授权运营范围的公共数据资源。</w:t>
      </w:r>
    </w:p>
    <w:p w14:paraId="71E9D494">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14" w:name="_Toc1561692583"/>
      <w:r>
        <w:rPr>
          <w:rFonts w:hint="default" w:ascii="Times New Roman" w:hAnsi="Times New Roman" w:eastAsia="楷体_GB2312" w:cs="Times New Roman"/>
          <w:b w:val="0"/>
          <w:color w:val="000000" w:themeColor="text1"/>
          <w:shd w:val="clear" w:color="auto" w:fill="FFFFFF"/>
          <w14:textFill>
            <w14:solidFill>
              <w14:schemeClr w14:val="tx1"/>
            </w14:solidFill>
          </w14:textFill>
        </w:rPr>
        <w:t>（二）数据资源登记</w:t>
      </w:r>
      <w:bookmarkEnd w:id="14"/>
    </w:p>
    <w:p w14:paraId="2CC7567A">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区数据局会同数据持有方，按照《公共数据资源登记管理暂行办法》有关规定，对纳入授权运营范围的公共数据资源进行登记，鼓励对未纳入授权运营范围的公共数据资源进行登记。鼓励运营机构对利用被授权的公共数据资源加工形成的数据产品和服务进行登记。</w:t>
      </w:r>
    </w:p>
    <w:bookmarkEnd w:id="13"/>
    <w:p w14:paraId="335CB169">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15" w:name="_Toc273606731"/>
      <w:bookmarkStart w:id="16" w:name="OLE_LINK96"/>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（三）数据资源目录</w:t>
      </w:r>
      <w:bookmarkEnd w:id="15"/>
    </w:p>
    <w:p w14:paraId="46A7AE8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纳入授权运营范围的公共数据资源实行目录管理，由区数据局会同数据持有方编制统一的数据资源目录，并按数据类型、主题领域、提供单位、更新频率等要素进行分类分级，形成结构清晰、可查询可追溯的目录体系。</w:t>
      </w:r>
    </w:p>
    <w:bookmarkEnd w:id="16"/>
    <w:p w14:paraId="7DD51A28">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17" w:name="_Toc745839690"/>
      <w:bookmarkStart w:id="18" w:name="OLE_LINK97"/>
      <w:r>
        <w:rPr>
          <w:rFonts w:hint="default" w:ascii="Times New Roman" w:hAnsi="Times New Roman" w:eastAsia="楷体_GB2312" w:cs="Times New Roman"/>
          <w:b w:val="0"/>
          <w:color w:val="000000" w:themeColor="text1"/>
          <w:shd w:val="clear" w:color="auto" w:fill="FFFFFF"/>
          <w14:textFill>
            <w14:solidFill>
              <w14:schemeClr w14:val="tx1"/>
            </w14:solidFill>
          </w14:textFill>
        </w:rPr>
        <w:t>（四）数据质量和更新维护</w:t>
      </w:r>
      <w:bookmarkEnd w:id="17"/>
    </w:p>
    <w:p w14:paraId="116598BE">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纳入授权运营范围的公共数据资源应满足准确、完整、及时、规范等基本要求。建立数据质量问题反馈与整改机制，运营过程中发现问题及时反馈数据持有方并推动源头改进，形成闭环提升。数据更新维护实行约定频率和台账管理，数据持有方按目录和协议要求提供更新数据，运营机构记录更新内容与时间并保持与源头同步。区数据局对更新维护和质量提升情况进行监督管理，确保数据资源持续可用。</w:t>
      </w:r>
    </w:p>
    <w:bookmarkEnd w:id="18"/>
    <w:p w14:paraId="3EEF80BD">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19" w:name="_Toc283435169"/>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五、授权运营实施机制</w:t>
      </w:r>
      <w:bookmarkEnd w:id="19"/>
    </w:p>
    <w:p w14:paraId="14C1E57D">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20" w:name="_Toc576156337"/>
      <w:bookmarkStart w:id="21" w:name="OLE_LINK98"/>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（一）授权运营期限</w:t>
      </w:r>
      <w:bookmarkEnd w:id="20"/>
    </w:p>
    <w:p w14:paraId="3479233F">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授权运营期限拟定为3年。</w:t>
      </w:r>
    </w:p>
    <w:bookmarkEnd w:id="21"/>
    <w:p w14:paraId="6DA0F05A">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22" w:name="_Toc455791636"/>
      <w:bookmarkStart w:id="23" w:name="OLE_LINK99"/>
      <w:r>
        <w:rPr>
          <w:rFonts w:hint="default" w:ascii="Times New Roman" w:hAnsi="Times New Roman" w:eastAsia="楷体_GB2312" w:cs="Times New Roman"/>
          <w:b w:val="0"/>
          <w:color w:val="000000" w:themeColor="text1"/>
          <w:shd w:val="clear" w:color="auto" w:fill="FFFFFF"/>
          <w14:textFill>
            <w14:solidFill>
              <w14:schemeClr w14:val="tx1"/>
            </w14:solidFill>
          </w14:textFill>
        </w:rPr>
        <w:t>（二）建设内容</w:t>
      </w:r>
      <w:bookmarkEnd w:id="22"/>
    </w:p>
    <w:p w14:paraId="1B8AB65A">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bookmarkStart w:id="24" w:name="OLE_LINK102"/>
      <w:r>
        <w:rPr>
          <w:rFonts w:hint="default" w:ascii="Times New Roman" w:hAnsi="Times New Roman" w:eastAsia="仿宋_GB2312" w:cs="Times New Roman"/>
          <w:color w:val="000000" w:themeColor="text1"/>
          <w:sz w:val="32"/>
          <w:szCs w:val="32"/>
          <w14:textFill>
            <w14:solidFill>
              <w14:schemeClr w14:val="tx1"/>
            </w14:solidFill>
          </w14:textFill>
        </w:rPr>
        <w:t>围绕授权运营目标，统筹推进数据资源治理、运营能力建设、产品服务供给、应用推广、安全保障和制度完善等工作。依托平台设施和数据基础，推动公共数据资源有序整合、规范治理和目录化管理，提升数据供给、产品开发、运营服务和应用支撑能力，促进公共数据产品和服务在公共治理、公益事业和产业发展、行业发展等领域依法合规应用。同步健全安全管理、运行保障、收益核算、信息公开和监督管理等配套机制。</w:t>
      </w:r>
    </w:p>
    <w:bookmarkEnd w:id="23"/>
    <w:bookmarkEnd w:id="24"/>
    <w:p w14:paraId="5DF734F5">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25" w:name="_Toc415857403"/>
      <w:bookmarkStart w:id="26" w:name="OLE_LINK109"/>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（三）技术保障措施</w:t>
      </w:r>
      <w:bookmarkEnd w:id="25"/>
    </w:p>
    <w:p w14:paraId="422785A4">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围绕授权运营有序实施，建立与数据资源开发利用相适应的技术保障体系，强化数据全生命周期管理、质量反馈纠错、安全供给、溯源管理和业务连续性保障。通过完善数据流转记录、权限控制、审计追踪、隐私保护和运行监测等技术能力，提升数据产品和服务的可追溯、可管控、可验证水平。</w:t>
      </w:r>
    </w:p>
    <w:bookmarkEnd w:id="26"/>
    <w:p w14:paraId="207982CA">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27" w:name="_Toc1403584883"/>
      <w:bookmarkStart w:id="28" w:name="OLE_LINK110"/>
      <w:bookmarkStart w:id="29" w:name="OLE_LINK107"/>
      <w:r>
        <w:rPr>
          <w:rFonts w:hint="default" w:ascii="Times New Roman" w:hAnsi="Times New Roman" w:eastAsia="楷体_GB2312" w:cs="Times New Roman"/>
          <w:b w:val="0"/>
          <w:color w:val="000000" w:themeColor="text1"/>
          <w:shd w:val="clear" w:color="auto" w:fill="FFFFFF"/>
          <w14:textFill>
            <w14:solidFill>
              <w14:schemeClr w14:val="tx1"/>
            </w14:solidFill>
          </w14:textFill>
        </w:rPr>
        <w:t>（四）实施进度安排</w:t>
      </w:r>
      <w:bookmarkEnd w:id="27"/>
    </w:p>
    <w:p w14:paraId="2300C0BB">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运营实施进度实行里程碑管理，分年度推进。</w:t>
      </w:r>
    </w:p>
    <w:p w14:paraId="154EB10C">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1.体系奠基（第一年）</w:t>
      </w:r>
    </w:p>
    <w:p w14:paraId="3B1DD081">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完成方案审议和协议签订，形成首批数据治理、登记赋码、目录清单和平台试运行成果，开展必要评估并完成阶段验收。</w:t>
      </w:r>
    </w:p>
    <w:p w14:paraId="2D15348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2.机制完善（第二年）</w:t>
      </w:r>
    </w:p>
    <w:p w14:paraId="413F9B30">
      <w:pPr>
        <w:pStyle w:val="25"/>
        <w:framePr w:wrap="auto" w:vAnchor="margin" w:hAnchor="text" w:yAlign="inline"/>
        <w:snapToGrid w:val="0"/>
        <w:spacing w:line="560" w:lineRule="exact"/>
        <w:ind w:firstLine="70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扩充数据与产品服务供给，完善制度和核算机制，组织评估并优化运营管理与推广应用。</w:t>
      </w:r>
    </w:p>
    <w:p w14:paraId="11F646B1">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bookmarkStart w:id="30" w:name="OLE_LINK4"/>
      <w:r>
        <w:rPr>
          <w:rFonts w:hint="default" w:ascii="Times New Roman" w:hAnsi="Times New Roman" w:eastAsia="仿宋_GB2312" w:cs="Times New Roman"/>
          <w:color w:val="000000" w:themeColor="text1"/>
          <w:sz w:val="32"/>
          <w:szCs w:val="32"/>
          <w14:textFill>
            <w14:solidFill>
              <w14:schemeClr w14:val="tx1"/>
            </w14:solidFill>
          </w14:textFill>
        </w:rPr>
        <w:t>3.成果固化（第三年）</w:t>
      </w:r>
    </w:p>
    <w:bookmarkEnd w:id="28"/>
    <w:p w14:paraId="6EAA5E00">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重点做好运营成效综合评估和成果固化，根据评估结果统筹续期、调整或者退出安排，推动形成可延续、可复用的制度化成果。</w:t>
      </w:r>
    </w:p>
    <w:bookmarkEnd w:id="29"/>
    <w:bookmarkEnd w:id="30"/>
    <w:p w14:paraId="28691888">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31" w:name="_Toc2090749933"/>
      <w:bookmarkStart w:id="32" w:name="OLE_LINK111"/>
      <w:bookmarkStart w:id="33" w:name="OLE_LINK108"/>
      <w:r>
        <w:rPr>
          <w:rFonts w:hint="default" w:ascii="Times New Roman" w:hAnsi="Times New Roman" w:eastAsia="楷体_GB2312" w:cs="Times New Roman"/>
          <w:b w:val="0"/>
          <w:color w:val="000000" w:themeColor="text1"/>
          <w:shd w:val="clear" w:color="auto" w:fill="FFFFFF"/>
          <w14:textFill>
            <w14:solidFill>
              <w14:schemeClr w14:val="tx1"/>
            </w14:solidFill>
          </w14:textFill>
        </w:rPr>
        <w:t>（五）评价标准</w:t>
      </w:r>
      <w:bookmarkEnd w:id="31"/>
    </w:p>
    <w:bookmarkEnd w:id="32"/>
    <w:bookmarkEnd w:id="33"/>
    <w:p w14:paraId="3F6D94B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bookmarkStart w:id="34" w:name="OLE_LINK112"/>
      <w:r>
        <w:rPr>
          <w:rFonts w:hint="default" w:ascii="Times New Roman" w:hAnsi="Times New Roman" w:eastAsia="仿宋_GB2312" w:cs="Times New Roman"/>
          <w:color w:val="000000" w:themeColor="text1"/>
          <w:sz w:val="32"/>
          <w:szCs w:val="32"/>
          <w14:textFill>
            <w14:solidFill>
              <w14:schemeClr w14:val="tx1"/>
            </w14:solidFill>
          </w14:textFill>
        </w:rPr>
        <w:t>评价标准应坚持公共价值导向，突出社会效益、经济效益与规范管理相统一，重点关注产品与服务对政府治理、公益事业和产业发展的支撑作用，数据资源整合治理和开发利用成效，收益核算与信息公开的规范性，以及数据安全、个人信息保护和风险防控措施落实情况。评价中应注重综合效益、实际应用成效和规范运行情况，强化对公共属性、服务质量与安全管理水平的整体衡量。</w:t>
      </w:r>
    </w:p>
    <w:p w14:paraId="1C34B72E">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35" w:name="_Toc2106691717"/>
      <w:bookmarkStart w:id="36" w:name="OLE_LINK5"/>
      <w:r>
        <w:rPr>
          <w:rFonts w:hint="default" w:ascii="Times New Roman" w:hAnsi="Times New Roman" w:eastAsia="楷体_GB2312" w:cs="Times New Roman"/>
          <w:b w:val="0"/>
          <w:color w:val="000000" w:themeColor="text1"/>
          <w:shd w:val="clear" w:color="auto" w:fill="FFFFFF"/>
          <w14:textFill>
            <w14:solidFill>
              <w14:schemeClr w14:val="tx1"/>
            </w14:solidFill>
          </w14:textFill>
        </w:rPr>
        <w:t>（六）退出机制</w:t>
      </w:r>
      <w:bookmarkEnd w:id="35"/>
    </w:p>
    <w:p w14:paraId="3DB29CF4">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建立授权运营退出机制，适用于期满不续约、提前终止或者更换运营机构等情形。退出工作应依法依约组织实施，统筹做好业务终止、数据清理、资产资金处置、权责交接和审计评估等工作。</w:t>
      </w:r>
    </w:p>
    <w:bookmarkEnd w:id="34"/>
    <w:bookmarkEnd w:id="36"/>
    <w:p w14:paraId="54700EEC">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37" w:name="_Toc1604799530"/>
      <w:bookmarkStart w:id="38" w:name="OLE_LINK113"/>
      <w:bookmarkStart w:id="39" w:name="OLE_LINK6"/>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（七）资产管理</w:t>
      </w:r>
      <w:bookmarkEnd w:id="37"/>
    </w:p>
    <w:bookmarkEnd w:id="38"/>
    <w:p w14:paraId="0DE66E0F">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授权运营涉及国有资产投入或者形成相关资产的，应依法纳入国有资产管理，健全资产登记、使用管理、审计监督和处置管理等机制。相关资产应按规定及时登记入账、规范使用、定期核查，重大资产处置依法履行审批程序，防止资产闲置、流失或者权属不清。</w:t>
      </w:r>
    </w:p>
    <w:bookmarkEnd w:id="39"/>
    <w:p w14:paraId="10465A7B">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40" w:name="_Toc1618578037"/>
      <w:bookmarkStart w:id="41" w:name="OLE_LINK1"/>
      <w:r>
        <w:rPr>
          <w:rFonts w:hint="default" w:ascii="Times New Roman" w:hAnsi="Times New Roman" w:eastAsia="楷体_GB2312" w:cs="Times New Roman"/>
          <w:b w:val="0"/>
          <w:color w:val="000000" w:themeColor="text1"/>
          <w:shd w:val="clear" w:color="auto" w:fill="FFFFFF"/>
          <w14:textFill>
            <w14:solidFill>
              <w14:schemeClr w14:val="tx1"/>
            </w14:solidFill>
          </w14:textFill>
        </w:rPr>
        <w:t>（八）容错机制</w:t>
      </w:r>
      <w:bookmarkEnd w:id="40"/>
    </w:p>
    <w:p w14:paraId="10F8D71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strike/>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严格落实“三个区分开来”，建立公共数据资源授权运营容错纠错机制，支持依法合规、稳妥有序探索创新。对履职尽责、先行先试中出现的失误偏差，在方向正确、程序合规、未谋取私利、未造成严重后果的前提下，依法依规予以容错并督促整改完善；对违反法律法规、突破授权边界、造成严重后果的，依法依规追责问责。</w:t>
      </w:r>
    </w:p>
    <w:bookmarkEnd w:id="41"/>
    <w:p w14:paraId="7EC6EB1C">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42" w:name="_Toc1265711310"/>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六、公共数据产品与服务</w:t>
      </w:r>
      <w:bookmarkEnd w:id="42"/>
    </w:p>
    <w:p w14:paraId="07AEDE48">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结合全区公共数据资源禀赋和发展需求，按照分领域授权组织公共数据资源开发利用，形成面向公共治理、公益事业和产业发展、行业发展两大类数据产品与服务体系。产品服务以高质量数据集、接口服务、统计分析报告、指标体系和模型服务等形式为主，并根据应用场景需要提供数据治理、合规评估、技术支撑和运营服务。</w:t>
      </w:r>
    </w:p>
    <w:p w14:paraId="0270AE3E">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43" w:name="_Toc662502607"/>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七、经营核算与收益分配机制</w:t>
      </w:r>
      <w:bookmarkEnd w:id="43"/>
    </w:p>
    <w:p w14:paraId="7E13AB2F">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44" w:name="_Toc2126089801"/>
      <w:bookmarkStart w:id="45" w:name="OLE_LINK125"/>
      <w:r>
        <w:rPr>
          <w:rFonts w:hint="default" w:ascii="Times New Roman" w:hAnsi="Times New Roman" w:eastAsia="楷体_GB2312" w:cs="Times New Roman"/>
          <w:b w:val="0"/>
          <w:color w:val="000000" w:themeColor="text1"/>
          <w:shd w:val="clear" w:color="auto" w:fill="FFFFFF"/>
          <w14:textFill>
            <w14:solidFill>
              <w14:schemeClr w14:val="tx1"/>
            </w14:solidFill>
          </w14:textFill>
        </w:rPr>
        <w:t>（一）经营核算机制</w:t>
      </w:r>
      <w:bookmarkEnd w:id="44"/>
    </w:p>
    <w:p w14:paraId="264691F7">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国家《关于建立公共数据资源授权运营价格形成机制的通知》要求，建立规范透明、动态调整的经营核算机制。区发改委会同区数据局按照上级核定标准和管理权限，合理确定公共数据产品和服务收费上限，运营机构在规定范围内自主定价、单独核算、如实记录收支并接受监督。对运营成本、收入水平和收益偏离情况实行动态评估，及时优化收费标准和服务供给，防范经营风险。</w:t>
      </w:r>
    </w:p>
    <w:bookmarkEnd w:id="45"/>
    <w:p w14:paraId="419C3923">
      <w:pPr>
        <w:pStyle w:val="4"/>
        <w:keepNext w:val="0"/>
        <w:keepLines w:val="0"/>
        <w:widowControl/>
        <w:snapToGrid w:val="0"/>
        <w:spacing w:before="0" w:after="0" w:line="560" w:lineRule="exact"/>
        <w:ind w:firstLine="640" w:firstLineChars="200"/>
        <w:rPr>
          <w:rFonts w:hint="default" w:ascii="Times New Roman" w:hAnsi="Times New Roman" w:eastAsia="楷体_GB2312" w:cs="Times New Roman"/>
          <w:b w:val="0"/>
          <w:color w:val="000000" w:themeColor="text1"/>
          <w:shd w:val="clear" w:color="auto" w:fill="FFFFFF"/>
          <w14:textFill>
            <w14:solidFill>
              <w14:schemeClr w14:val="tx1"/>
            </w14:solidFill>
          </w14:textFill>
        </w:rPr>
      </w:pPr>
      <w:bookmarkStart w:id="46" w:name="_Toc1210882974"/>
      <w:bookmarkStart w:id="47" w:name="OLE_LINK126"/>
      <w:r>
        <w:rPr>
          <w:rFonts w:hint="default" w:ascii="Times New Roman" w:hAnsi="Times New Roman" w:eastAsia="楷体_GB2312" w:cs="Times New Roman"/>
          <w:b w:val="0"/>
          <w:color w:val="000000" w:themeColor="text1"/>
          <w:shd w:val="clear" w:color="auto" w:fill="FFFFFF"/>
          <w14:textFill>
            <w14:solidFill>
              <w14:schemeClr w14:val="tx1"/>
            </w14:solidFill>
          </w14:textFill>
        </w:rPr>
        <w:t>（二）收益分配机制</w:t>
      </w:r>
      <w:bookmarkEnd w:id="46"/>
    </w:p>
    <w:bookmarkEnd w:id="47"/>
    <w:p w14:paraId="2577BEA7">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收益分配遵循“补偿成本、促进流通、让利市场、服务社会”原则，统筹兼顾运营投入、资源有偿使用成本和经济社会效益。公共数据授权运营相关收入按照规定实行规范收缴、核算、分配和财政管理，涉及多部门数据融合的，结合数据贡献合理统筹分配。相关收入在符合财政支出管理规定前提下，支持用于系统运维、数据治理和升级服务保障。</w:t>
      </w:r>
    </w:p>
    <w:p w14:paraId="772DAC94">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48" w:name="_Toc1755105046"/>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八、数据安全与应急处置</w:t>
      </w:r>
      <w:bookmarkEnd w:id="48"/>
    </w:p>
    <w:p w14:paraId="69D9BB4A">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坚持依法合规、安全可控、最小必要、全程留痕原则，建立覆盖授权运营全过程的数据安全管理机制，明确各方安全责任和使用边界，落实数据分类分级、权限控制、个人信息保护和安全审计等要求，防止数据超范围使用、违规流转和风险扩散。</w:t>
      </w:r>
    </w:p>
    <w:p w14:paraId="3025ED05">
      <w:pPr>
        <w:pStyle w:val="25"/>
        <w:framePr w:wrap="auto" w:vAnchor="margin" w:hAnchor="text" w:yAlign="inline"/>
        <w:snapToGrid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建立统一高效的风险响应机制，围绕数据泄露、系统故障、网络攻击、合规风险等情形，完善报告、研判、处置、恢复和整改闭环，持续提升突发事件快速响应和协同处置能力。</w:t>
      </w:r>
    </w:p>
    <w:p w14:paraId="707EF404">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bookmarkStart w:id="49" w:name="_Toc270796568"/>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九、监督管理与考核评价</w:t>
      </w:r>
      <w:bookmarkEnd w:id="49"/>
    </w:p>
    <w:p w14:paraId="3CBF6217">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bookmarkStart w:id="50" w:name="OLE_LINK123"/>
      <w:r>
        <w:rPr>
          <w:rFonts w:hint="default" w:ascii="Times New Roman" w:hAnsi="Times New Roman" w:eastAsia="仿宋_GB2312" w:cs="Times New Roman"/>
          <w:color w:val="000000" w:themeColor="text1"/>
          <w:sz w:val="32"/>
          <w:szCs w:val="32"/>
          <w:u w:color="000000"/>
          <w14:textFill>
            <w14:solidFill>
              <w14:schemeClr w14:val="tx1"/>
            </w14:solidFill>
          </w14:textFill>
        </w:rPr>
        <w:t>由区数据局会同有关部门对授权运营实行全过程监督管理，统筹开展日常检查、风险监测、问题整改和社会监督。重点围绕数据安全、服务规范、信息公开、收费行为和协议履行等情况加强管理，对发现问题依法依约督促整改。</w:t>
      </w:r>
    </w:p>
    <w:bookmarkEnd w:id="50"/>
    <w:p w14:paraId="36E834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bookmarkStart w:id="51" w:name="OLE_LINK124"/>
      <w:r>
        <w:rPr>
          <w:rFonts w:hint="default" w:ascii="Times New Roman" w:hAnsi="Times New Roman" w:eastAsia="仿宋_GB2312" w:cs="Times New Roman"/>
          <w:color w:val="000000" w:themeColor="text1"/>
          <w:sz w:val="32"/>
          <w:szCs w:val="32"/>
          <w:u w:color="000000"/>
          <w14:textFill>
            <w14:solidFill>
              <w14:schemeClr w14:val="tx1"/>
            </w14:solidFill>
          </w14:textFill>
        </w:rPr>
        <w:t>由</w:t>
      </w:r>
      <w:r>
        <w:rPr>
          <w:rFonts w:hint="default" w:ascii="Times New Roman" w:hAnsi="Times New Roman" w:eastAsia="仿宋_GB2312" w:cs="Times New Roman"/>
          <w:color w:val="000000" w:themeColor="text1"/>
          <w:sz w:val="32"/>
          <w:szCs w:val="32"/>
          <w14:textFill>
            <w14:solidFill>
              <w14:schemeClr w14:val="tx1"/>
            </w14:solidFill>
          </w14:textFill>
        </w:rPr>
        <w:t>区数据局</w:t>
      </w:r>
      <w:r>
        <w:rPr>
          <w:rFonts w:hint="default" w:ascii="Times New Roman" w:hAnsi="Times New Roman" w:eastAsia="仿宋_GB2312" w:cs="Times New Roman"/>
          <w:color w:val="000000" w:themeColor="text1"/>
          <w:sz w:val="32"/>
          <w:szCs w:val="32"/>
          <w:u w:color="000000"/>
          <w14:textFill>
            <w14:solidFill>
              <w14:schemeClr w14:val="tx1"/>
            </w14:solidFill>
          </w14:textFill>
        </w:rPr>
        <w:t>牵头会同有关部门制定考核方案，对运营机构履职情况开展年度考核和期末综合评估，必要时引入第三方机构或专家参与。考核指标兼顾数量与质量，突出公共价值导向，综合评价产品服务供给与应用成效、数据质量提升、制度执行情况、收益核算与公开、用户满意度以及安全合规等情况，避免单纯以盈利水平作为评价依据。</w:t>
      </w:r>
    </w:p>
    <w:bookmarkEnd w:id="51"/>
    <w:p w14:paraId="1BC3FED2">
      <w:pPr>
        <w:widowControl/>
        <w:spacing w:line="56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十、其他事项</w:t>
      </w:r>
    </w:p>
    <w:p w14:paraId="7DA94040">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仿宋_GB2312" w:cs="Times New Roman"/>
          <w:color w:val="000000" w:themeColor="text1"/>
          <w:sz w:val="32"/>
          <w:szCs w:val="32"/>
          <w:u w:color="000000"/>
          <w14:textFill>
            <w14:solidFill>
              <w14:schemeClr w14:val="tx1"/>
            </w14:solidFill>
          </w14:textFill>
        </w:rPr>
        <w:t>本实施方案由区数据局负责解释。国家、天津市对公共数据资源授权运营管理另有规定的，从其规定。本实施方案自发布之日起施行，有效期3年，根据情况适时修订调整。</w:t>
      </w:r>
    </w:p>
    <w:p w14:paraId="3235122E">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p>
    <w:p w14:paraId="6BF681C2">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仿宋_GB2312" w:cs="Times New Roman"/>
          <w:color w:val="000000" w:themeColor="text1"/>
          <w:sz w:val="32"/>
          <w:szCs w:val="32"/>
          <w:u w:color="000000"/>
          <w14:textFill>
            <w14:solidFill>
              <w14:schemeClr w14:val="tx1"/>
            </w14:solidFill>
          </w14:textFill>
        </w:rPr>
        <w:t>附件：东丽区公共数据资源授权运营各参与方权利义务</w:t>
      </w:r>
      <w:r>
        <w:rPr>
          <w:rFonts w:hint="default" w:ascii="Times New Roman" w:hAnsi="Times New Roman" w:eastAsia="仿宋_GB2312" w:cs="Times New Roman"/>
          <w:color w:val="000000" w:themeColor="text1"/>
          <w:sz w:val="32"/>
          <w:szCs w:val="32"/>
          <w:highlight w:val="none"/>
          <w:u w:color="000000"/>
          <w14:textFill>
            <w14:solidFill>
              <w14:schemeClr w14:val="tx1"/>
            </w14:solidFill>
          </w14:textFill>
        </w:rPr>
        <w:t>明细</w:t>
      </w:r>
    </w:p>
    <w:p w14:paraId="35531498">
      <w:pPr>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0E62AC0E">
      <w:pPr>
        <w:widowControl/>
        <w:spacing w:line="560" w:lineRule="exact"/>
        <w:rPr>
          <w:rFonts w:hint="default" w:ascii="Times New Roman" w:hAnsi="Times New Roman" w:eastAsia="黑体" w:cs="Times New Roman"/>
          <w:color w:val="000000" w:themeColor="text1"/>
          <w:sz w:val="32"/>
          <w:szCs w:val="32"/>
          <w:u w:color="000000"/>
          <w14:textFill>
            <w14:solidFill>
              <w14:schemeClr w14:val="tx1"/>
            </w14:solidFill>
          </w14:textFill>
        </w:rPr>
      </w:pPr>
      <w:r>
        <w:rPr>
          <w:rFonts w:hint="default" w:ascii="Times New Roman" w:hAnsi="Times New Roman" w:eastAsia="黑体" w:cs="Times New Roman"/>
          <w:color w:val="000000" w:themeColor="text1"/>
          <w:sz w:val="32"/>
          <w:szCs w:val="32"/>
          <w:u w:color="000000"/>
          <w14:textFill>
            <w14:solidFill>
              <w14:schemeClr w14:val="tx1"/>
            </w14:solidFill>
          </w14:textFill>
        </w:rPr>
        <w:t>附件</w:t>
      </w:r>
    </w:p>
    <w:p w14:paraId="7C82ACDF">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p>
    <w:p w14:paraId="15A41694">
      <w:pPr>
        <w:widowControl/>
        <w:spacing w:line="560" w:lineRule="exact"/>
        <w:jc w:val="center"/>
        <w:rPr>
          <w:rFonts w:hint="default" w:ascii="Times New Roman" w:hAnsi="Times New Roman" w:eastAsia="方正小标宋简体" w:cs="Times New Roman"/>
          <w:color w:val="000000" w:themeColor="text1"/>
          <w:sz w:val="44"/>
          <w:szCs w:val="44"/>
          <w:u w:color="000000"/>
          <w14:textFill>
            <w14:solidFill>
              <w14:schemeClr w14:val="tx1"/>
            </w14:solidFill>
          </w14:textFill>
        </w:rPr>
      </w:pPr>
      <w:r>
        <w:rPr>
          <w:rFonts w:hint="default" w:ascii="Times New Roman" w:hAnsi="Times New Roman" w:eastAsia="方正小标宋简体" w:cs="Times New Roman"/>
          <w:color w:val="000000" w:themeColor="text1"/>
          <w:sz w:val="44"/>
          <w:szCs w:val="44"/>
          <w:u w:color="000000"/>
          <w14:textFill>
            <w14:solidFill>
              <w14:schemeClr w14:val="tx1"/>
            </w14:solidFill>
          </w14:textFill>
        </w:rPr>
        <w:t>东丽区公共数据资源授权运营各参与方</w:t>
      </w:r>
    </w:p>
    <w:p w14:paraId="38AF30AD">
      <w:pPr>
        <w:widowControl/>
        <w:spacing w:line="560" w:lineRule="exact"/>
        <w:jc w:val="center"/>
        <w:rPr>
          <w:rFonts w:hint="default" w:ascii="Times New Roman" w:hAnsi="Times New Roman" w:eastAsia="方正小标宋简体" w:cs="Times New Roman"/>
          <w:color w:val="000000" w:themeColor="text1"/>
          <w:sz w:val="44"/>
          <w:szCs w:val="44"/>
          <w:highlight w:val="none"/>
          <w:u w:color="000000"/>
          <w14:textFill>
            <w14:solidFill>
              <w14:schemeClr w14:val="tx1"/>
            </w14:solidFill>
          </w14:textFill>
        </w:rPr>
      </w:pPr>
      <w:r>
        <w:rPr>
          <w:rFonts w:hint="default" w:ascii="Times New Roman" w:hAnsi="Times New Roman" w:eastAsia="方正小标宋简体" w:cs="Times New Roman"/>
          <w:color w:val="000000" w:themeColor="text1"/>
          <w:sz w:val="44"/>
          <w:szCs w:val="44"/>
          <w:u w:color="000000"/>
          <w14:textFill>
            <w14:solidFill>
              <w14:schemeClr w14:val="tx1"/>
            </w14:solidFill>
          </w14:textFill>
        </w:rPr>
        <w:t>权利义务</w:t>
      </w:r>
      <w:r>
        <w:rPr>
          <w:rFonts w:hint="default" w:ascii="Times New Roman" w:hAnsi="Times New Roman" w:eastAsia="方正小标宋简体" w:cs="Times New Roman"/>
          <w:color w:val="000000" w:themeColor="text1"/>
          <w:sz w:val="44"/>
          <w:szCs w:val="44"/>
          <w:highlight w:val="none"/>
          <w:u w:color="000000"/>
          <w14:textFill>
            <w14:solidFill>
              <w14:schemeClr w14:val="tx1"/>
            </w14:solidFill>
          </w14:textFill>
        </w:rPr>
        <w:t>明细</w:t>
      </w:r>
    </w:p>
    <w:p w14:paraId="734507F7">
      <w:pPr>
        <w:widowControl/>
        <w:spacing w:line="560" w:lineRule="exact"/>
        <w:ind w:firstLine="640" w:firstLineChars="200"/>
        <w:rPr>
          <w:rFonts w:hint="default" w:ascii="Times New Roman" w:hAnsi="Times New Roman" w:eastAsia="仿宋_GB2312" w:cs="Times New Roman"/>
          <w:color w:val="000000" w:themeColor="text1"/>
          <w:sz w:val="32"/>
          <w:szCs w:val="32"/>
          <w:u w:color="000000"/>
          <w14:textFill>
            <w14:solidFill>
              <w14:schemeClr w14:val="tx1"/>
            </w14:solidFill>
          </w14:textFill>
        </w:rPr>
      </w:pPr>
    </w:p>
    <w:p w14:paraId="2B718FF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仿宋_GB2312" w:cs="Times New Roman"/>
          <w:color w:val="000000" w:themeColor="text1"/>
          <w:sz w:val="32"/>
          <w:szCs w:val="32"/>
          <w:u w:color="000000"/>
          <w14:textFill>
            <w14:solidFill>
              <w14:schemeClr w14:val="tx1"/>
            </w14:solidFill>
          </w14:textFill>
        </w:rPr>
        <w:t>东丽区公共数据资源授权运营是一项统筹推进、协同实施的综合性工作，涉及数据局、数据持有方、运营机构以及财政局、国资委、发改委等部门。为明确各方职权边界和责任约束，健全协作机制，保障授权运营规范有序推进，现对各参与方权利义务予以说明如下。</w:t>
      </w:r>
    </w:p>
    <w:p w14:paraId="54AE12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一、数据局</w:t>
      </w:r>
    </w:p>
    <w:p w14:paraId="4215F93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数据局</w:t>
      </w:r>
      <w:r>
        <w:rPr>
          <w:rFonts w:hint="default" w:ascii="Times New Roman" w:hAnsi="Times New Roman" w:eastAsia="仿宋_GB2312" w:cs="Times New Roman"/>
          <w:color w:val="000000" w:themeColor="text1"/>
          <w:sz w:val="32"/>
          <w:szCs w:val="32"/>
          <w:highlight w:val="none"/>
          <w:u w:color="000000"/>
          <w:lang w:val="en-US" w:eastAsia="zh-CN"/>
          <w14:textFill>
            <w14:solidFill>
              <w14:schemeClr w14:val="tx1"/>
            </w14:solidFill>
          </w14:textFill>
        </w:rPr>
        <w:t>作为区公共数据资源授权运营的实施机构</w:t>
      </w:r>
      <w:r>
        <w:rPr>
          <w:rFonts w:hint="default" w:ascii="Times New Roman" w:hAnsi="Times New Roman" w:eastAsia="仿宋_GB2312" w:cs="Times New Roman"/>
          <w:color w:val="000000" w:themeColor="text1"/>
          <w:sz w:val="32"/>
          <w:szCs w:val="32"/>
          <w:u w:color="000000"/>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牵头组织授权运营工作，负责实施方案编制报审、协议签订和重大事项统筹协调，推动数据供给和问题处置。落实上级政策要求并及时完善相关安排。对授权范围、目录清单、定价与核算、信息公开以及数据安全和个人信息保护等实施全过程监督管理，组织年度考核和期末综合评估，督促整改并依法依约处置。按规定履行报告义务，做好与市级主管部门衔接和必要支撑保障。</w:t>
      </w:r>
    </w:p>
    <w:p w14:paraId="2EE2BA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有权掌握运营情况并开展检查监督，要求运营机构限期整改。对授权数据使用边界享有管理权，发生安全风险或公共利益受损等情形时，可依协议采取启动更换运营机构程序等相应处置措施。</w:t>
      </w:r>
    </w:p>
    <w:p w14:paraId="3B49DCE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二、数据持有方</w:t>
      </w:r>
    </w:p>
    <w:p w14:paraId="0ACAB3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数据持有方应按实施方案和协议要求提供授权范围内数据资源，保证数据来源合法、内容真实完整，并按约定频率及时更新。应加强源头治理和质量维护，配合开展元数据完善、分类标注和敏感信息识别处理工作。应严格遵守授权边界，不得擅自重复授权或变更用途，不得向用户另行收费或干预定价。应落实安全保密要求，发现涉密或不宜使用情形及时告知并配合处置，协同推进授权运营相关工作。</w:t>
      </w:r>
    </w:p>
    <w:p w14:paraId="79B6BA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有权了解其数据使用和产品服务形成情况，要求运营机构依法合规使用。按规定享有收益分配权并监督运营情况，对违规行为可提出制止建议，发生重大风险时可向区数据局报告并请求处置。</w:t>
      </w:r>
    </w:p>
    <w:p w14:paraId="28AAA84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三、运营机构</w:t>
      </w:r>
    </w:p>
    <w:p w14:paraId="3D909C3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运营机构应严格按照授权协议约定的范围、用途、期限开展运营，不得超范围使用、变相转授权或擅自调整授权事项。应开展数据治理加工，按实施方案和协议约定形成数据产品与服务供给能力。应依法合规经营，落实网络安全、数据安全和个人信息保护要求，执行价格管理规定，依法纳税并规范财务核算。应按规定开展信息披露，及时公开产品服务清单和收费标准等必要信息。应按约定及时结算并划转收益，提供核算依据并接受审计监督，发生重大风险事件按要求报告并服从处置。应做好用户服务保障，维护用户合法权益，确保服务稳定连续。</w:t>
      </w:r>
    </w:p>
    <w:p w14:paraId="3AA6D0F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运营机构有权在授权范围内开展数据治理开发并依法获取合理收益，有权在政策和协议框架内自主开展经营活动和业务创新，对自行开发形成的产品服务依法享有相应权益，并对不当干预依法依约提出异议。</w:t>
      </w:r>
    </w:p>
    <w:p w14:paraId="14D0BFF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四、财政局</w:t>
      </w:r>
    </w:p>
    <w:p w14:paraId="0D3AD33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财政局负责政府收益收缴和统筹管理，按授权运营协议约定将应上缴收益纳入国库管理并依法依规使用。对财政资金投入形成的资产，会同有关部门纳入国有资产登记管理，参与重大资产事项审核把关，督促规范处置，防止国有资产流失。</w:t>
      </w:r>
    </w:p>
    <w:p w14:paraId="5118F29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在履行财政资金保障与监管职责的过程中，财政局为确保公共资源高效、规范使用，依法享有与项目资金管理相关的权利。</w:t>
      </w:r>
    </w:p>
    <w:p w14:paraId="45D6B7B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五、国资委</w:t>
      </w:r>
    </w:p>
    <w:p w14:paraId="6AD7A1E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国资委依法履行国有资产监管职责，加强对授权运营过程中涉及国有资产的管理使用监督，定期检查相关资产增减变化，防止闲置浪费和流失。对重大资产处置事项依法审核把关，涉及国有资产交易的，按规定履行审批或备案程序，并按要求组织公开交易，维护国有资产权益。</w:t>
      </w:r>
    </w:p>
    <w:p w14:paraId="64F094D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在公共数据资源授权运营过程中，国资委基于其监管职能享有相关权利，确保能够依法履行监管职责、介入重大事项、把控关键环节，推动国有资产在授权运营中的规范运作与稳健运行。</w:t>
      </w:r>
    </w:p>
    <w:p w14:paraId="094FAF0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六、发改委</w:t>
      </w:r>
    </w:p>
    <w:p w14:paraId="65D61F2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1.相关义务</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发改委履行价格管理职责，健全公共数据资源授权运营价格管理机制，按照政府指导价目录执行，保障收费标准科学合理、公开透明。加强成本监管和价格执行监督，会同有关部门开展成本监审和政策评估，指导规范收费行为，促进公共数据资源高效利用。</w:t>
      </w:r>
    </w:p>
    <w:p w14:paraId="23C427D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color="000000"/>
          <w14:textFill>
            <w14:solidFill>
              <w14:schemeClr w14:val="tx1"/>
            </w14:solidFill>
          </w14:textFill>
        </w:rPr>
      </w:pPr>
      <w:r>
        <w:rPr>
          <w:rFonts w:hint="default" w:ascii="Times New Roman" w:hAnsi="Times New Roman" w:eastAsia="楷体_GB2312" w:cs="Times New Roman"/>
          <w:color w:val="000000" w:themeColor="text1"/>
          <w:sz w:val="32"/>
          <w:szCs w:val="32"/>
          <w:u w:color="000000"/>
          <w14:textFill>
            <w14:solidFill>
              <w14:schemeClr w14:val="tx1"/>
            </w14:solidFill>
          </w14:textFill>
        </w:rPr>
        <w:t>2.相关权利</w:t>
      </w:r>
      <w:r>
        <w:rPr>
          <w:rFonts w:hint="eastAsia" w:ascii="Times New Roman" w:hAnsi="Times New Roman" w:eastAsia="楷体_GB2312" w:cs="Times New Roman"/>
          <w:color w:val="000000" w:themeColor="text1"/>
          <w:sz w:val="32"/>
          <w:szCs w:val="32"/>
          <w:u w:color="000000"/>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color="000000"/>
          <w14:textFill>
            <w14:solidFill>
              <w14:schemeClr w14:val="tx1"/>
            </w14:solidFill>
          </w14:textFill>
        </w:rPr>
        <w:t>依法对定价政策执行、标准备案和调整事项实施管理，有权调取成本核算等相关资料并组织评估，配合有关部门依法查处不遵守行业管理有关规定、不执行政府指导价、价格欺诈以及不按规定明码标价等行为。</w:t>
      </w:r>
    </w:p>
    <w:bookmarkEnd w:id="52"/>
    <w:sectPr>
      <w:footerReference r:id="rId3" w:type="default"/>
      <w:pgSz w:w="11906" w:h="16838"/>
      <w:pgMar w:top="2098" w:right="1474" w:bottom="1985" w:left="1588" w:header="851" w:footer="158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54C9EC-9EE9-474A-927D-A2CC2F07AB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79B46B6-4928-4203-B29C-2A2ED5B5B07D}"/>
  </w:font>
  <w:font w:name="Century">
    <w:altName w:val="Times New Roman"/>
    <w:panose1 w:val="02040604050505020304"/>
    <w:charset w:val="00"/>
    <w:family w:val="roman"/>
    <w:pitch w:val="default"/>
    <w:sig w:usb0="00000000" w:usb1="00000000" w:usb2="00000000" w:usb3="00000000" w:csb0="0000009F" w:csb1="00000000"/>
  </w:font>
  <w:font w:name="MS Mincho">
    <w:altName w:val="Yu Gothic UI"/>
    <w:panose1 w:val="02020609040205080304"/>
    <w:charset w:val="80"/>
    <w:family w:val="modern"/>
    <w:pitch w:val="default"/>
    <w:sig w:usb0="00000000" w:usb1="00000000" w:usb2="08000012" w:usb3="00000000" w:csb0="0002009F" w:csb1="00000000"/>
  </w:font>
  <w:font w:name="方正小标宋_GBK">
    <w:panose1 w:val="02000000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E0000" w:usb2="00000000" w:usb3="00000000" w:csb0="00040000" w:csb1="00000000"/>
    <w:embedRegular r:id="rId3" w:fontKey="{C380529B-E584-49BC-906F-26180821837D}"/>
  </w:font>
  <w:font w:name="仿宋_GB2312">
    <w:panose1 w:val="02010609030101010101"/>
    <w:charset w:val="86"/>
    <w:family w:val="modern"/>
    <w:pitch w:val="default"/>
    <w:sig w:usb0="00000001" w:usb1="080E0000" w:usb2="00000000" w:usb3="00000000" w:csb0="00040000" w:csb1="00000000"/>
    <w:embedRegular r:id="rId4" w:fontKey="{D397E38C-C198-4C8B-B76D-3CC41E3E4BD7}"/>
  </w:font>
  <w:font w:name="楷体_GB2312">
    <w:panose1 w:val="02010609030101010101"/>
    <w:charset w:val="86"/>
    <w:family w:val="modern"/>
    <w:pitch w:val="default"/>
    <w:sig w:usb0="00000001" w:usb1="080E0000" w:usb2="00000000" w:usb3="00000000" w:csb0="00040000" w:csb1="00000000"/>
    <w:embedRegular r:id="rId5" w:fontKey="{E909EDDB-5C5E-4DB6-9C9D-08E23CF32CE6}"/>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BD45">
    <w:pPr>
      <w:tabs>
        <w:tab w:val="center" w:pos="4153"/>
        <w:tab w:val="right" w:pos="8306"/>
      </w:tabs>
      <w:ind w:firstLine="360"/>
      <w:jc w:val="center"/>
      <w:rPr>
        <w:rFonts w:eastAsia="Calibri" w:cs="Calibri"/>
        <w:color w:val="000000"/>
        <w:kern w:val="0"/>
        <w:sz w:val="18"/>
        <w:szCs w:val="18"/>
        <w:u w:color="000000"/>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49530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82CE4">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3.9pt;height:144pt;width:144pt;mso-position-horizontal:outside;mso-position-horizontal-relative:margin;mso-wrap-style:none;z-index:251659264;mso-width-relative:page;mso-height-relative:page;" filled="f" stroked="f" coordsize="21600,21600" o:gfxdata="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NGrT+0wAAAAYBAAAPAAAAAAAAAAEAIAAAACIAAABkcnMvZG93bnJldi54bWxQSwECFAAUAAAA&#10;CACHTuJAK+3r1iwCAABXBAAADgAAAAAAAAABACAAAAAiAQAAZHJzL2Uyb0RvYy54bWxQSwUGAAAA&#10;AAYABgBZAQAAwAUAAAAA&#10;">
              <v:fill on="f" focussize="0,0"/>
              <v:stroke on="f" weight="0.5pt"/>
              <v:imagedata o:title=""/>
              <o:lock v:ext="edit" aspectratio="f"/>
              <v:textbox inset="0mm,0mm,0mm,0mm" style="mso-fit-shape-to-text:t;">
                <w:txbxContent>
                  <w:p w14:paraId="52282CE4">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YTU2ZWNhZTYwMzhlMTc5OWMxMTQ0OWE3MGQwZDIifQ=="/>
  </w:docVars>
  <w:rsids>
    <w:rsidRoot w:val="DFBE5AFA"/>
    <w:rsid w:val="0012378F"/>
    <w:rsid w:val="001523E9"/>
    <w:rsid w:val="002162AC"/>
    <w:rsid w:val="00286250"/>
    <w:rsid w:val="002F2E20"/>
    <w:rsid w:val="003156ED"/>
    <w:rsid w:val="003225BF"/>
    <w:rsid w:val="00341B14"/>
    <w:rsid w:val="003D6EF6"/>
    <w:rsid w:val="0044356E"/>
    <w:rsid w:val="005C0E70"/>
    <w:rsid w:val="005C1737"/>
    <w:rsid w:val="005E2326"/>
    <w:rsid w:val="006E2018"/>
    <w:rsid w:val="00704DAD"/>
    <w:rsid w:val="0086681C"/>
    <w:rsid w:val="00901BA8"/>
    <w:rsid w:val="00963360"/>
    <w:rsid w:val="00963EAE"/>
    <w:rsid w:val="009B4C38"/>
    <w:rsid w:val="00A35714"/>
    <w:rsid w:val="00A6085F"/>
    <w:rsid w:val="00A71720"/>
    <w:rsid w:val="00AD5DD2"/>
    <w:rsid w:val="00B119B5"/>
    <w:rsid w:val="00C251EB"/>
    <w:rsid w:val="00C478F0"/>
    <w:rsid w:val="00C8634F"/>
    <w:rsid w:val="00CC7150"/>
    <w:rsid w:val="00D5063B"/>
    <w:rsid w:val="00D81BA2"/>
    <w:rsid w:val="00DB211B"/>
    <w:rsid w:val="00ED246C"/>
    <w:rsid w:val="00F42925"/>
    <w:rsid w:val="00F64228"/>
    <w:rsid w:val="00FA065F"/>
    <w:rsid w:val="00FE6F0F"/>
    <w:rsid w:val="01874143"/>
    <w:rsid w:val="03922DD8"/>
    <w:rsid w:val="061B4F38"/>
    <w:rsid w:val="06F402D0"/>
    <w:rsid w:val="095C69F8"/>
    <w:rsid w:val="0B3A2814"/>
    <w:rsid w:val="0D4265B5"/>
    <w:rsid w:val="115EEC85"/>
    <w:rsid w:val="205238AE"/>
    <w:rsid w:val="23847F75"/>
    <w:rsid w:val="250911DB"/>
    <w:rsid w:val="259F4754"/>
    <w:rsid w:val="25D45A1C"/>
    <w:rsid w:val="25D76220"/>
    <w:rsid w:val="2B5B4C71"/>
    <w:rsid w:val="2C505482"/>
    <w:rsid w:val="2DF37D89"/>
    <w:rsid w:val="2EBFC9A0"/>
    <w:rsid w:val="2FDDDDE2"/>
    <w:rsid w:val="309E58D5"/>
    <w:rsid w:val="36D6D112"/>
    <w:rsid w:val="374E0E7D"/>
    <w:rsid w:val="377D8B5B"/>
    <w:rsid w:val="3AA627C7"/>
    <w:rsid w:val="3CEF28D3"/>
    <w:rsid w:val="3ED64533"/>
    <w:rsid w:val="3F30230B"/>
    <w:rsid w:val="40DD3602"/>
    <w:rsid w:val="44FF3339"/>
    <w:rsid w:val="47195F8F"/>
    <w:rsid w:val="4AFEAB5F"/>
    <w:rsid w:val="4E594BF7"/>
    <w:rsid w:val="4FFF453F"/>
    <w:rsid w:val="53EFC7B3"/>
    <w:rsid w:val="55EA179F"/>
    <w:rsid w:val="57FF48F7"/>
    <w:rsid w:val="5A6C69B2"/>
    <w:rsid w:val="5C60501C"/>
    <w:rsid w:val="5EF3F8B5"/>
    <w:rsid w:val="5F7AA0F1"/>
    <w:rsid w:val="5FECB543"/>
    <w:rsid w:val="5FF6B54B"/>
    <w:rsid w:val="62657866"/>
    <w:rsid w:val="63AA57C0"/>
    <w:rsid w:val="665C3CEC"/>
    <w:rsid w:val="6AA00E98"/>
    <w:rsid w:val="6B7B5DD5"/>
    <w:rsid w:val="6BBD9A69"/>
    <w:rsid w:val="6BCDC4D3"/>
    <w:rsid w:val="6BFB4FC0"/>
    <w:rsid w:val="6BFE348E"/>
    <w:rsid w:val="6DBD5B6B"/>
    <w:rsid w:val="6DBF637D"/>
    <w:rsid w:val="6DC66051"/>
    <w:rsid w:val="6F547DC8"/>
    <w:rsid w:val="6FAFFBE4"/>
    <w:rsid w:val="6FB43AA3"/>
    <w:rsid w:val="6FF73394"/>
    <w:rsid w:val="6FFB6FB7"/>
    <w:rsid w:val="70625C3F"/>
    <w:rsid w:val="73FB8D2F"/>
    <w:rsid w:val="73FE1B0F"/>
    <w:rsid w:val="747FAB54"/>
    <w:rsid w:val="755D7F77"/>
    <w:rsid w:val="769F1936"/>
    <w:rsid w:val="77D55B17"/>
    <w:rsid w:val="77EFF951"/>
    <w:rsid w:val="77FFCE13"/>
    <w:rsid w:val="7B7F8C78"/>
    <w:rsid w:val="7BD743A9"/>
    <w:rsid w:val="7BDD1E1A"/>
    <w:rsid w:val="7BF1895A"/>
    <w:rsid w:val="7C7F2F02"/>
    <w:rsid w:val="7CE7D188"/>
    <w:rsid w:val="7D8DE9EA"/>
    <w:rsid w:val="7DBFE453"/>
    <w:rsid w:val="7DEEB688"/>
    <w:rsid w:val="7DF740C9"/>
    <w:rsid w:val="7DFF2C97"/>
    <w:rsid w:val="7EAF7248"/>
    <w:rsid w:val="7F3D103D"/>
    <w:rsid w:val="7F3FDD62"/>
    <w:rsid w:val="7F5BB0A6"/>
    <w:rsid w:val="7F6683C9"/>
    <w:rsid w:val="7F6B40A6"/>
    <w:rsid w:val="7F6FF09E"/>
    <w:rsid w:val="7F7E2291"/>
    <w:rsid w:val="7F7FF159"/>
    <w:rsid w:val="7F9F36EB"/>
    <w:rsid w:val="7FF915A6"/>
    <w:rsid w:val="8B7FDF9C"/>
    <w:rsid w:val="8EFF7178"/>
    <w:rsid w:val="99ADE2FA"/>
    <w:rsid w:val="9FBFE621"/>
    <w:rsid w:val="A5FDA23A"/>
    <w:rsid w:val="A7F39EAD"/>
    <w:rsid w:val="AEBEAF0F"/>
    <w:rsid w:val="AECEBFE6"/>
    <w:rsid w:val="AFBD02EC"/>
    <w:rsid w:val="AFF1CFB9"/>
    <w:rsid w:val="B3F340E5"/>
    <w:rsid w:val="B5FBF726"/>
    <w:rsid w:val="BBF5CB12"/>
    <w:rsid w:val="BDB306C9"/>
    <w:rsid w:val="BF6DE4D6"/>
    <w:rsid w:val="C3EFEF97"/>
    <w:rsid w:val="D469E06F"/>
    <w:rsid w:val="DA6F89EF"/>
    <w:rsid w:val="DAFBD2CE"/>
    <w:rsid w:val="DB61FA70"/>
    <w:rsid w:val="DBFD8DB9"/>
    <w:rsid w:val="DC3DC506"/>
    <w:rsid w:val="DD3792BC"/>
    <w:rsid w:val="DDBF7CF0"/>
    <w:rsid w:val="DF26D379"/>
    <w:rsid w:val="DF3BF1E0"/>
    <w:rsid w:val="DFBE5AFA"/>
    <w:rsid w:val="DFDF32CA"/>
    <w:rsid w:val="DFE6FB60"/>
    <w:rsid w:val="DFEFE8BF"/>
    <w:rsid w:val="E02FF865"/>
    <w:rsid w:val="E19F5E38"/>
    <w:rsid w:val="E5DF9264"/>
    <w:rsid w:val="E5F8A40F"/>
    <w:rsid w:val="E7DDB506"/>
    <w:rsid w:val="EDA739A9"/>
    <w:rsid w:val="EEE7095C"/>
    <w:rsid w:val="EFDD0FD3"/>
    <w:rsid w:val="EFDD44AC"/>
    <w:rsid w:val="EFDF2AA5"/>
    <w:rsid w:val="EFFF1B68"/>
    <w:rsid w:val="F4DD26BA"/>
    <w:rsid w:val="F5FFADD5"/>
    <w:rsid w:val="F79E189C"/>
    <w:rsid w:val="F7BF89F7"/>
    <w:rsid w:val="F9DF02C4"/>
    <w:rsid w:val="FA17B658"/>
    <w:rsid w:val="FA58C62D"/>
    <w:rsid w:val="FABB68BE"/>
    <w:rsid w:val="FABED759"/>
    <w:rsid w:val="FCDE7495"/>
    <w:rsid w:val="FD7F42BA"/>
    <w:rsid w:val="FD7FD9B0"/>
    <w:rsid w:val="FDF8AFC6"/>
    <w:rsid w:val="FE5FD6DC"/>
    <w:rsid w:val="FE98FB39"/>
    <w:rsid w:val="FEEE19D9"/>
    <w:rsid w:val="FF6F9022"/>
    <w:rsid w:val="FF92CE62"/>
    <w:rsid w:val="FFBF4C8A"/>
    <w:rsid w:val="FFDF8CBF"/>
    <w:rsid w:val="FFEFA887"/>
    <w:rsid w:val="FFF56ADC"/>
    <w:rsid w:val="FFF76FE4"/>
    <w:rsid w:val="FFF7E3F3"/>
    <w:rsid w:val="FFFEEDF2"/>
    <w:rsid w:val="FFFF5079"/>
    <w:rsid w:val="FFFFC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Normal Indent"/>
    <w:basedOn w:val="1"/>
    <w:unhideWhenUsed/>
    <w:qFormat/>
    <w:uiPriority w:val="99"/>
    <w:pPr>
      <w:ind w:firstLine="420" w:firstLineChars="200"/>
    </w:pPr>
  </w:style>
  <w:style w:type="paragraph" w:styleId="6">
    <w:name w:val="annotation text"/>
    <w:basedOn w:val="1"/>
    <w:link w:val="27"/>
    <w:qFormat/>
    <w:uiPriority w:val="0"/>
    <w:rPr>
      <w:sz w:val="20"/>
      <w:szCs w:val="20"/>
    </w:rPr>
  </w:style>
  <w:style w:type="paragraph" w:styleId="7">
    <w:name w:val="Body Text Indent"/>
    <w:basedOn w:val="1"/>
    <w:next w:val="8"/>
    <w:qFormat/>
    <w:uiPriority w:val="0"/>
    <w:pPr>
      <w:spacing w:after="120"/>
      <w:ind w:left="420" w:leftChars="200"/>
    </w:pPr>
  </w:style>
  <w:style w:type="paragraph" w:styleId="8">
    <w:name w:val="Body Text First Indent 2"/>
    <w:basedOn w:val="7"/>
    <w:next w:val="1"/>
    <w:qFormat/>
    <w:uiPriority w:val="0"/>
    <w:pPr>
      <w:ind w:firstLine="420" w:firstLineChars="200"/>
    </w:pPr>
  </w:style>
  <w:style w:type="paragraph" w:styleId="9">
    <w:name w:val="footer"/>
    <w:basedOn w:val="1"/>
    <w:next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unhideWhenUsed/>
    <w:qFormat/>
    <w:uiPriority w:val="39"/>
    <w:pPr>
      <w:tabs>
        <w:tab w:val="right" w:leader="dot" w:pos="15388"/>
      </w:tabs>
    </w:pPr>
  </w:style>
  <w:style w:type="paragraph" w:styleId="12">
    <w:name w:val="footnote text"/>
    <w:basedOn w:val="1"/>
    <w:next w:val="8"/>
    <w:unhideWhenUsed/>
    <w:qFormat/>
    <w:uiPriority w:val="99"/>
    <w:pPr>
      <w:snapToGrid w:val="0"/>
    </w:pPr>
    <w:rPr>
      <w:rFonts w:ascii="Century" w:hAnsi="Century" w:eastAsia="MS Mincho"/>
      <w:sz w:val="18"/>
      <w:szCs w:val="18"/>
      <w:lang w:eastAsia="ja-JP"/>
    </w:rPr>
  </w:style>
  <w:style w:type="paragraph" w:styleId="13">
    <w:name w:val="toc 2"/>
    <w:basedOn w:val="1"/>
    <w:next w:val="1"/>
    <w:unhideWhenUsed/>
    <w:qFormat/>
    <w:uiPriority w:val="39"/>
    <w:pPr>
      <w:ind w:left="420" w:leftChars="200"/>
    </w:pPr>
  </w:style>
  <w:style w:type="paragraph" w:styleId="14">
    <w:name w:val="Normal (Web)"/>
    <w:basedOn w:val="1"/>
    <w:qFormat/>
    <w:uiPriority w:val="0"/>
    <w:pPr>
      <w:spacing w:line="400" w:lineRule="exact"/>
    </w:pPr>
    <w:rPr>
      <w:rFonts w:eastAsia="宋体"/>
      <w:sz w:val="24"/>
      <w:szCs w:val="24"/>
    </w:rPr>
  </w:style>
  <w:style w:type="paragraph" w:styleId="15">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6">
    <w:name w:val="annotation subject"/>
    <w:basedOn w:val="6"/>
    <w:next w:val="6"/>
    <w:link w:val="28"/>
    <w:qFormat/>
    <w:uiPriority w:val="0"/>
    <w:rPr>
      <w:b/>
      <w:bCs/>
    </w:rPr>
  </w:style>
  <w:style w:type="paragraph" w:styleId="17">
    <w:name w:val="Body Text First Indent"/>
    <w:basedOn w:val="2"/>
    <w:qFormat/>
    <w:uiPriority w:val="0"/>
    <w:pPr>
      <w:ind w:firstLine="420" w:firstLineChars="100"/>
    </w:pPr>
  </w:style>
  <w:style w:type="character" w:styleId="20">
    <w:name w:val="page number"/>
    <w:basedOn w:val="19"/>
    <w:qFormat/>
    <w:uiPriority w:val="0"/>
  </w:style>
  <w:style w:type="character" w:styleId="21">
    <w:name w:val="annotation reference"/>
    <w:basedOn w:val="19"/>
    <w:qFormat/>
    <w:uiPriority w:val="0"/>
    <w:rPr>
      <w:sz w:val="16"/>
      <w:szCs w:val="16"/>
    </w:rPr>
  </w:style>
  <w:style w:type="paragraph" w:customStyle="1" w:styleId="22">
    <w:name w:val="Default"/>
    <w:next w:val="2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表格文字"/>
    <w:basedOn w:val="1"/>
    <w:qFormat/>
    <w:uiPriority w:val="0"/>
    <w:pPr>
      <w:adjustRightInd w:val="0"/>
      <w:spacing w:line="420" w:lineRule="atLeast"/>
      <w:jc w:val="left"/>
      <w:textAlignment w:val="baseline"/>
    </w:pPr>
    <w:rPr>
      <w:kern w:val="0"/>
      <w:szCs w:val="20"/>
    </w:rPr>
  </w:style>
  <w:style w:type="paragraph" w:customStyle="1" w:styleId="24">
    <w:name w:val="正文-公1"/>
    <w:basedOn w:val="1"/>
    <w:qFormat/>
    <w:uiPriority w:val="0"/>
    <w:pPr>
      <w:ind w:firstLine="200"/>
    </w:pPr>
    <w:rPr>
      <w:rFonts w:cs="Calibri"/>
      <w:color w:val="000000"/>
      <w:szCs w:val="21"/>
    </w:rPr>
  </w:style>
  <w:style w:type="paragraph" w:customStyle="1" w:styleId="25">
    <w:name w:val="正文 A"/>
    <w:qFormat/>
    <w:uiPriority w:val="0"/>
    <w:pPr>
      <w:framePr w:wrap="around" w:vAnchor="margin" w:hAnchor="text" w:y="1"/>
      <w:widowControl w:val="0"/>
      <w:jc w:val="both"/>
    </w:pPr>
    <w:rPr>
      <w:rFonts w:ascii="等线" w:hAnsi="等线" w:eastAsia="等线" w:cs="等线"/>
      <w:color w:val="000000"/>
      <w:kern w:val="2"/>
      <w:sz w:val="21"/>
      <w:szCs w:val="21"/>
      <w:u w:color="000000"/>
      <w:lang w:val="en-US" w:eastAsia="zh-CN" w:bidi="ar-SA"/>
    </w:rPr>
  </w:style>
  <w:style w:type="paragraph" w:customStyle="1" w:styleId="26">
    <w:name w:val="修订1"/>
    <w:hidden/>
    <w:unhideWhenUsed/>
    <w:qFormat/>
    <w:uiPriority w:val="99"/>
    <w:rPr>
      <w:rFonts w:ascii="Calibri" w:hAnsi="Calibri" w:eastAsia="宋体" w:cs="Times New Roman"/>
      <w:kern w:val="2"/>
      <w:sz w:val="21"/>
      <w:szCs w:val="24"/>
      <w:lang w:val="en-US" w:eastAsia="zh-CN" w:bidi="ar-SA"/>
    </w:rPr>
  </w:style>
  <w:style w:type="character" w:customStyle="1" w:styleId="27">
    <w:name w:val="批注文字 字符"/>
    <w:basedOn w:val="19"/>
    <w:link w:val="6"/>
    <w:qFormat/>
    <w:uiPriority w:val="0"/>
    <w:rPr>
      <w:rFonts w:ascii="Calibri" w:hAnsi="Calibri" w:eastAsia="宋体" w:cs="Times New Roman"/>
      <w:kern w:val="2"/>
    </w:rPr>
  </w:style>
  <w:style w:type="character" w:customStyle="1" w:styleId="28">
    <w:name w:val="批注主题 字符"/>
    <w:basedOn w:val="27"/>
    <w:link w:val="16"/>
    <w:qFormat/>
    <w:uiPriority w:val="0"/>
    <w:rPr>
      <w:rFonts w:ascii="Calibri" w:hAnsi="Calibri" w:eastAsia="宋体" w:cs="Times New Roman"/>
      <w:b/>
      <w:bCs/>
      <w:kern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5776</Words>
  <Characters>5807</Characters>
  <Lines>62</Lines>
  <Paragraphs>17</Paragraphs>
  <TotalTime>3</TotalTime>
  <ScaleCrop>false</ScaleCrop>
  <LinksUpToDate>false</LinksUpToDate>
  <CharactersWithSpaces>5821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2026-02-24T15:42:00Z</dcterms:created>
  <dc:creator>WPS_1474731857</dc:creator>
  <cp:lastModifiedBy>行者</cp:lastModifiedBy>
  <cp:lastPrinted>2026-06-30T18:37:00Z</cp:lastPrinted>
  <dcterms:modified xsi:type="dcterms:W3CDTF">2026-07-13T07:31:43Z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B8F65806629D4A807ADE3D6AD6DD16D8_43</vt:lpwstr>
  </property>
  <property fmtid="{D5CDD505-2E9C-101B-9397-08002B2CF9AE}" pid="4" name="KSOTemplateDocerSaveRecord">
    <vt:lpwstr>eyJoZGlkIjoiMDg1MjFkYTJiM2IxM2NjM2IxMTQ3YjllYTllM2NjYjAiLCJ1c2VySWQiOiIzNTY4MzEzMDEifQ==</vt:lpwstr>
  </property>
</Properties>
</file>