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294B1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outlineLvl w:val="9"/>
        <w:rPr>
          <w:rFonts w:hint="eastAsia" w:ascii="仿宋_GB2312" w:hAnsi="仿宋_GB2312" w:eastAsia="仿宋_GB2312" w:cs="仿宋_GB2312"/>
          <w:sz w:val="32"/>
          <w:szCs w:val="32"/>
          <w:lang w:eastAsia="zh-CN"/>
        </w:rPr>
      </w:pPr>
    </w:p>
    <w:p w14:paraId="66A7316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outlineLvl w:val="9"/>
        <w:rPr>
          <w:rFonts w:hint="eastAsia" w:ascii="仿宋_GB2312" w:hAnsi="仿宋_GB2312" w:eastAsia="仿宋_GB2312" w:cs="仿宋_GB2312"/>
          <w:sz w:val="32"/>
          <w:szCs w:val="32"/>
          <w:lang w:eastAsia="zh-CN"/>
        </w:rPr>
      </w:pPr>
    </w:p>
    <w:p w14:paraId="61B592B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outlineLvl w:val="9"/>
        <w:rPr>
          <w:rFonts w:hint="eastAsia" w:ascii="仿宋_GB2312" w:hAnsi="仿宋_GB2312" w:eastAsia="仿宋_GB2312" w:cs="仿宋_GB2312"/>
          <w:sz w:val="32"/>
          <w:szCs w:val="32"/>
          <w:lang w:eastAsia="zh-CN"/>
        </w:rPr>
      </w:pPr>
    </w:p>
    <w:p w14:paraId="5288976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关于印发《东丽区202</w:t>
      </w:r>
      <w:r>
        <w:rPr>
          <w:rFonts w:hint="eastAsia" w:ascii="方正小标宋简体" w:hAnsi="方正小标宋简体" w:eastAsia="方正小标宋简体" w:cs="方正小标宋简体"/>
          <w:sz w:val="44"/>
          <w:szCs w:val="44"/>
          <w:lang w:val="en-US" w:eastAsia="zh-CN"/>
        </w:rPr>
        <w:t>6</w:t>
      </w:r>
      <w:r>
        <w:rPr>
          <w:rFonts w:hint="eastAsia" w:ascii="方正小标宋简体" w:hAnsi="方正小标宋简体" w:eastAsia="方正小标宋简体" w:cs="方正小标宋简体"/>
          <w:sz w:val="44"/>
          <w:szCs w:val="44"/>
          <w:lang w:eastAsia="zh-CN"/>
        </w:rPr>
        <w:t>年度“高效办成</w:t>
      </w:r>
    </w:p>
    <w:p w14:paraId="577E6F0A">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sz w:val="44"/>
          <w:szCs w:val="44"/>
          <w:lang w:eastAsia="zh-CN"/>
        </w:rPr>
        <w:t>一件事”场景清单》的通知</w:t>
      </w:r>
    </w:p>
    <w:p w14:paraId="05DFD5AB">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32"/>
          <w:szCs w:val="32"/>
        </w:rPr>
      </w:pPr>
    </w:p>
    <w:p w14:paraId="6F5C732E">
      <w:pPr>
        <w:keepNext w:val="0"/>
        <w:keepLines w:val="0"/>
        <w:pageBreakBefore w:val="0"/>
        <w:widowControl w:val="0"/>
        <w:suppressLineNumbers w:val="0"/>
        <w:kinsoku/>
        <w:wordWrap/>
        <w:overflowPunct/>
        <w:topLinePunct w:val="0"/>
        <w:autoSpaceDE/>
        <w:autoSpaceDN/>
        <w:bidi w:val="0"/>
        <w:adjustRightInd/>
        <w:snapToGrid/>
        <w:spacing w:line="560" w:lineRule="exact"/>
        <w:ind w:left="0" w:leftChars="0"/>
        <w:jc w:val="both"/>
        <w:textAlignment w:val="auto"/>
        <w:rPr>
          <w:rFonts w:hint="eastAsia" w:ascii="仿宋_GB2312" w:hAnsi="仿宋_GB2312" w:eastAsia="仿宋_GB2312" w:cs="仿宋_GB2312"/>
          <w:sz w:val="32"/>
          <w:szCs w:val="32"/>
          <w:lang w:eastAsia="zh-CN"/>
        </w:rPr>
      </w:pPr>
      <w:r>
        <w:rPr>
          <w:rFonts w:ascii="仿宋_GB2312" w:hAnsi="宋体" w:eastAsia="仿宋_GB2312" w:cs="仿宋_GB2312"/>
          <w:color w:val="000000"/>
          <w:kern w:val="0"/>
          <w:sz w:val="31"/>
          <w:szCs w:val="31"/>
          <w:lang w:val="en-US" w:eastAsia="zh-CN" w:bidi="ar"/>
        </w:rPr>
        <w:t>区各相关委办局：</w:t>
      </w:r>
    </w:p>
    <w:p w14:paraId="061503C2">
      <w:pPr>
        <w:keepNext w:val="0"/>
        <w:keepLines w:val="0"/>
        <w:pageBreakBefore w:val="0"/>
        <w:widowControl w:val="0"/>
        <w:tabs>
          <w:tab w:val="left" w:pos="8400"/>
          <w:tab w:val="left" w:pos="8505"/>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微软雅黑" w:eastAsia="仿宋_GB2312" w:cs="Times New Roman"/>
          <w:spacing w:val="0"/>
          <w:sz w:val="32"/>
          <w:szCs w:val="32"/>
          <w:highlight w:val="none"/>
          <w:lang w:val="en-US" w:eastAsia="zh-CN"/>
        </w:rPr>
      </w:pPr>
      <w:r>
        <w:rPr>
          <w:rFonts w:hint="eastAsia" w:ascii="仿宋_GB2312" w:hAnsi="仿宋_GB2312" w:eastAsia="仿宋_GB2312" w:cs="仿宋_GB2312"/>
          <w:sz w:val="32"/>
          <w:szCs w:val="32"/>
          <w:lang w:val="en-US" w:eastAsia="zh-CN"/>
        </w:rPr>
        <w:t>为深入落实国务院、天津市关于“高效办成一件事”相关部署要求，</w:t>
      </w:r>
      <w:r>
        <w:rPr>
          <w:rFonts w:hint="eastAsia" w:ascii="仿宋_GB2312" w:hAnsi="仿宋_GB2312" w:eastAsia="仿宋_GB2312" w:cs="仿宋_GB2312"/>
          <w:b w:val="0"/>
          <w:bCs w:val="0"/>
          <w:spacing w:val="6"/>
          <w:sz w:val="32"/>
          <w:szCs w:val="32"/>
          <w:highlight w:val="none"/>
          <w:lang w:val="en-US" w:eastAsia="zh-CN"/>
        </w:rPr>
        <w:t>进一步提升政务服务标准化规范化便利化水平，有效增强为企惠民服务能力，围绕企业群众办事需求，形成《</w:t>
      </w:r>
      <w:r>
        <w:rPr>
          <w:rFonts w:hint="eastAsia" w:ascii="仿宋_GB2312" w:hAnsi="微软雅黑" w:eastAsia="仿宋_GB2312" w:cs="Times New Roman"/>
          <w:spacing w:val="6"/>
          <w:sz w:val="32"/>
          <w:szCs w:val="32"/>
          <w:highlight w:val="none"/>
          <w:lang w:val="en-US" w:eastAsia="zh-CN"/>
        </w:rPr>
        <w:t>东丽区2026年度“高效办成一件事”场景清单</w:t>
      </w:r>
      <w:r>
        <w:rPr>
          <w:rFonts w:hint="eastAsia" w:ascii="仿宋_GB2312" w:hAnsi="仿宋_GB2312" w:eastAsia="仿宋_GB2312" w:cs="仿宋_GB2312"/>
          <w:b w:val="0"/>
          <w:bCs w:val="0"/>
          <w:spacing w:val="6"/>
          <w:sz w:val="32"/>
          <w:szCs w:val="32"/>
          <w:highlight w:val="none"/>
          <w:lang w:val="en-US" w:eastAsia="zh-CN"/>
        </w:rPr>
        <w:t>》。</w:t>
      </w:r>
      <w:r>
        <w:rPr>
          <w:rFonts w:hint="eastAsia" w:ascii="仿宋_GB2312" w:hAnsi="微软雅黑" w:eastAsia="仿宋_GB2312" w:cs="Times New Roman"/>
          <w:spacing w:val="0"/>
          <w:sz w:val="32"/>
          <w:szCs w:val="32"/>
          <w:highlight w:val="none"/>
          <w:lang w:val="en-US" w:eastAsia="zh-CN"/>
        </w:rPr>
        <w:t>现印发给相关单位，请各单位密切配合，切实将工作落实到位，形成合力，取得成效。同时加大政务服务“高效办成一件事”的宣传推广应用，广泛提升市场主体、办事群众的知晓度，积极指导市场主体、办事群众切实运用好改革举措，有效提升政务服务便利化水平。</w:t>
      </w:r>
    </w:p>
    <w:p w14:paraId="23EC3D3E">
      <w:pPr>
        <w:keepNext w:val="0"/>
        <w:keepLines w:val="0"/>
        <w:pageBreakBefore w:val="0"/>
        <w:widowControl w:val="0"/>
        <w:tabs>
          <w:tab w:val="left" w:pos="8400"/>
          <w:tab w:val="left" w:pos="8505"/>
        </w:tabs>
        <w:kinsoku/>
        <w:wordWrap/>
        <w:overflowPunct/>
        <w:topLinePunct w:val="0"/>
        <w:autoSpaceDE/>
        <w:autoSpaceDN/>
        <w:bidi w:val="0"/>
        <w:adjustRightInd/>
        <w:snapToGrid/>
        <w:spacing w:line="560" w:lineRule="exact"/>
        <w:ind w:left="0" w:leftChars="0" w:right="0" w:rightChars="0" w:firstLine="664" w:firstLineChars="200"/>
        <w:jc w:val="both"/>
        <w:textAlignment w:val="auto"/>
        <w:outlineLvl w:val="9"/>
        <w:rPr>
          <w:rFonts w:hint="eastAsia" w:ascii="仿宋_GB2312" w:hAnsi="微软雅黑" w:eastAsia="仿宋_GB2312" w:cs="Times New Roman"/>
          <w:spacing w:val="6"/>
          <w:sz w:val="32"/>
          <w:szCs w:val="32"/>
          <w:highlight w:val="none"/>
          <w:lang w:val="en-US" w:eastAsia="zh-CN"/>
        </w:rPr>
      </w:pPr>
    </w:p>
    <w:p w14:paraId="4B9258EF">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_GB2312" w:hAnsi="微软雅黑" w:eastAsia="仿宋_GB2312" w:cs="Times New Roman"/>
          <w:spacing w:val="0"/>
          <w:sz w:val="32"/>
          <w:szCs w:val="32"/>
          <w:highlight w:val="none"/>
          <w:lang w:val="en-US" w:eastAsia="zh-CN"/>
        </w:rPr>
      </w:pPr>
      <w:r>
        <w:rPr>
          <w:rFonts w:hint="eastAsia" w:ascii="仿宋_GB2312" w:hAnsi="微软雅黑" w:eastAsia="仿宋_GB2312" w:cs="Times New Roman"/>
          <w:spacing w:val="0"/>
          <w:sz w:val="32"/>
          <w:szCs w:val="32"/>
          <w:highlight w:val="none"/>
          <w:lang w:val="en-US" w:eastAsia="zh-CN"/>
        </w:rPr>
        <w:t>附件：东丽区2026年度“高效办成一件事”场景清单</w:t>
      </w:r>
    </w:p>
    <w:p w14:paraId="2997B351">
      <w:pPr>
        <w:keepNext w:val="0"/>
        <w:keepLines w:val="0"/>
        <w:pageBreakBefore w:val="0"/>
        <w:widowControl w:val="0"/>
        <w:kinsoku/>
        <w:wordWrap w:val="0"/>
        <w:overflowPunct/>
        <w:topLinePunct w:val="0"/>
        <w:autoSpaceDE/>
        <w:autoSpaceDN/>
        <w:bidi w:val="0"/>
        <w:adjustRightInd/>
        <w:snapToGrid/>
        <w:spacing w:line="560" w:lineRule="exact"/>
        <w:jc w:val="right"/>
        <w:textAlignment w:val="auto"/>
        <w:rPr>
          <w:rFonts w:hint="eastAsia" w:ascii="仿宋_GB2312" w:hAnsi="仿宋_GB2312" w:eastAsia="仿宋_GB2312" w:cs="仿宋_GB2312"/>
          <w:b w:val="0"/>
          <w:bCs w:val="0"/>
          <w:color w:val="auto"/>
          <w:sz w:val="32"/>
          <w:szCs w:val="32"/>
          <w:lang w:val="en-US" w:eastAsia="zh-CN"/>
        </w:rPr>
      </w:pPr>
    </w:p>
    <w:p w14:paraId="48CEE58D">
      <w:pPr>
        <w:keepNext w:val="0"/>
        <w:keepLines w:val="0"/>
        <w:pageBreakBefore w:val="0"/>
        <w:widowControl w:val="0"/>
        <w:kinsoku/>
        <w:wordWrap w:val="0"/>
        <w:overflowPunct/>
        <w:topLinePunct w:val="0"/>
        <w:autoSpaceDE/>
        <w:autoSpaceDN/>
        <w:bidi w:val="0"/>
        <w:adjustRightInd/>
        <w:snapToGrid/>
        <w:spacing w:line="560" w:lineRule="exact"/>
        <w:jc w:val="right"/>
        <w:textAlignment w:val="auto"/>
        <w:rPr>
          <w:rFonts w:hint="default"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    </w:t>
      </w:r>
    </w:p>
    <w:p w14:paraId="2E6075C7">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                          2026年6月</w:t>
      </w:r>
      <w:r>
        <w:rPr>
          <w:rFonts w:hint="default" w:ascii="仿宋_GB2312" w:hAnsi="仿宋_GB2312" w:eastAsia="仿宋_GB2312" w:cs="仿宋_GB2312"/>
          <w:b w:val="0"/>
          <w:bCs w:val="0"/>
          <w:color w:val="auto"/>
          <w:sz w:val="32"/>
          <w:szCs w:val="32"/>
          <w:lang w:val="en-US" w:eastAsia="zh-CN"/>
        </w:rPr>
        <w:t>29</w:t>
      </w:r>
      <w:r>
        <w:rPr>
          <w:rFonts w:hint="eastAsia" w:ascii="仿宋_GB2312" w:hAnsi="仿宋_GB2312" w:eastAsia="仿宋_GB2312" w:cs="仿宋_GB2312"/>
          <w:b w:val="0"/>
          <w:bCs w:val="0"/>
          <w:color w:val="auto"/>
          <w:sz w:val="32"/>
          <w:szCs w:val="32"/>
          <w:lang w:val="en-US" w:eastAsia="zh-CN"/>
        </w:rPr>
        <w:t xml:space="preserve">日    </w:t>
      </w:r>
    </w:p>
    <w:p w14:paraId="6ECA7D9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（联系人：郑媖君；联系电话：24878361）</w:t>
      </w:r>
    </w:p>
    <w:p w14:paraId="6B52450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sectPr>
          <w:footerReference r:id="rId3" w:type="default"/>
          <w:pgSz w:w="11906" w:h="16838"/>
          <w:pgMar w:top="1080" w:right="1440" w:bottom="1080" w:left="1440" w:header="851" w:footer="1134" w:gutter="0"/>
          <w:pgNumType w:fmt="numberInDash"/>
          <w:cols w:space="425" w:num="1"/>
          <w:docGrid w:type="lines" w:linePitch="312" w:charSpace="0"/>
        </w:sectPr>
      </w:pPr>
      <w:r>
        <w:rPr>
          <w:rFonts w:hint="eastAsia" w:ascii="仿宋_GB2312" w:hAnsi="仿宋_GB2312" w:eastAsia="仿宋_GB2312" w:cs="仿宋_GB2312"/>
          <w:b w:val="0"/>
          <w:bCs w:val="0"/>
          <w:color w:val="auto"/>
          <w:sz w:val="32"/>
          <w:szCs w:val="32"/>
          <w:lang w:val="en-US" w:eastAsia="zh-CN"/>
        </w:rPr>
        <w:t>（此件主动公开）</w:t>
      </w:r>
    </w:p>
    <w:p w14:paraId="5F3D53A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10345A0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东丽区2026年度“高效办成一件事”场景清单</w:t>
      </w:r>
    </w:p>
    <w:p w14:paraId="0FDC2F33">
      <w:pPr>
        <w:jc w:val="both"/>
        <w:rPr>
          <w:rFonts w:hint="default"/>
          <w:lang w:val="en-US" w:eastAsia="zh-CN"/>
        </w:rPr>
      </w:pPr>
    </w:p>
    <w:tbl>
      <w:tblPr>
        <w:tblStyle w:val="7"/>
        <w:tblW w:w="1541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806"/>
        <w:gridCol w:w="3345"/>
        <w:gridCol w:w="6990"/>
        <w:gridCol w:w="1598"/>
        <w:gridCol w:w="2673"/>
      </w:tblGrid>
      <w:tr w14:paraId="4B66C8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blHeader/>
          <w:jc w:val="center"/>
        </w:trPr>
        <w:tc>
          <w:tcPr>
            <w:tcW w:w="806" w:type="dxa"/>
            <w:tcBorders>
              <w:tl2br w:val="nil"/>
              <w:tr2bl w:val="nil"/>
            </w:tcBorders>
            <w:shd w:val="clear" w:color="auto" w:fill="auto"/>
            <w:noWrap/>
            <w:vAlign w:val="center"/>
          </w:tcPr>
          <w:p w14:paraId="13F64A15">
            <w:pPr>
              <w:keepNext w:val="0"/>
              <w:keepLines w:val="0"/>
              <w:pageBreakBefore w:val="0"/>
              <w:widowControl w:val="0"/>
              <w:suppressLineNumbers w:val="0"/>
              <w:shd w:val="clear"/>
              <w:kinsoku/>
              <w:wordWrap/>
              <w:overflowPunct/>
              <w:topLinePunct w:val="0"/>
              <w:autoSpaceDE/>
              <w:autoSpaceDN/>
              <w:bidi w:val="0"/>
              <w:adjustRightInd/>
              <w:snapToGrid/>
              <w:spacing w:line="440" w:lineRule="exact"/>
              <w:jc w:val="center"/>
              <w:textAlignment w:val="center"/>
              <w:rPr>
                <w:rFonts w:ascii="黑体" w:hAnsi="宋体" w:eastAsia="黑体" w:cs="黑体"/>
                <w:i w:val="0"/>
                <w:iCs w:val="0"/>
                <w:color w:val="auto"/>
                <w:sz w:val="28"/>
                <w:szCs w:val="28"/>
                <w:highlight w:val="none"/>
                <w:u w:val="none"/>
              </w:rPr>
            </w:pPr>
            <w:r>
              <w:rPr>
                <w:rFonts w:hint="eastAsia" w:ascii="黑体" w:hAnsi="宋体" w:eastAsia="黑体" w:cs="黑体"/>
                <w:i w:val="0"/>
                <w:iCs w:val="0"/>
                <w:color w:val="auto"/>
                <w:kern w:val="0"/>
                <w:sz w:val="28"/>
                <w:szCs w:val="28"/>
                <w:highlight w:val="none"/>
                <w:u w:val="none"/>
                <w:lang w:val="en-US" w:eastAsia="zh-CN" w:bidi="ar"/>
              </w:rPr>
              <w:t>序号</w:t>
            </w:r>
          </w:p>
        </w:tc>
        <w:tc>
          <w:tcPr>
            <w:tcW w:w="3345" w:type="dxa"/>
            <w:tcBorders>
              <w:tl2br w:val="nil"/>
              <w:tr2bl w:val="nil"/>
            </w:tcBorders>
            <w:shd w:val="clear" w:color="auto" w:fill="auto"/>
            <w:noWrap/>
            <w:vAlign w:val="center"/>
          </w:tcPr>
          <w:p w14:paraId="5B1F3583">
            <w:pPr>
              <w:keepNext w:val="0"/>
              <w:keepLines w:val="0"/>
              <w:pageBreakBefore w:val="0"/>
              <w:widowControl w:val="0"/>
              <w:suppressLineNumbers w:val="0"/>
              <w:shd w:val="clear"/>
              <w:kinsoku/>
              <w:wordWrap/>
              <w:overflowPunct/>
              <w:topLinePunct w:val="0"/>
              <w:autoSpaceDE/>
              <w:autoSpaceDN/>
              <w:bidi w:val="0"/>
              <w:adjustRightInd/>
              <w:snapToGrid/>
              <w:spacing w:line="440" w:lineRule="exact"/>
              <w:jc w:val="center"/>
              <w:textAlignment w:val="center"/>
              <w:rPr>
                <w:rFonts w:hint="eastAsia" w:ascii="黑体" w:hAnsi="宋体" w:eastAsia="黑体" w:cs="黑体"/>
                <w:i w:val="0"/>
                <w:iCs w:val="0"/>
                <w:color w:val="auto"/>
                <w:sz w:val="28"/>
                <w:szCs w:val="28"/>
                <w:highlight w:val="none"/>
                <w:u w:val="none"/>
              </w:rPr>
            </w:pPr>
            <w:r>
              <w:rPr>
                <w:rFonts w:hint="eastAsia" w:ascii="黑体" w:hAnsi="宋体" w:eastAsia="黑体" w:cs="黑体"/>
                <w:i w:val="0"/>
                <w:iCs w:val="0"/>
                <w:color w:val="auto"/>
                <w:kern w:val="0"/>
                <w:sz w:val="28"/>
                <w:szCs w:val="28"/>
                <w:highlight w:val="none"/>
                <w:u w:val="none"/>
                <w:lang w:val="en-US" w:eastAsia="zh-CN" w:bidi="ar"/>
              </w:rPr>
              <w:t>“高效办成一件事”场景</w:t>
            </w:r>
          </w:p>
        </w:tc>
        <w:tc>
          <w:tcPr>
            <w:tcW w:w="6990" w:type="dxa"/>
            <w:tcBorders>
              <w:tl2br w:val="nil"/>
              <w:tr2bl w:val="nil"/>
            </w:tcBorders>
            <w:shd w:val="clear" w:color="auto" w:fill="auto"/>
            <w:noWrap/>
            <w:vAlign w:val="center"/>
          </w:tcPr>
          <w:p w14:paraId="1E8D9A0C">
            <w:pPr>
              <w:keepNext w:val="0"/>
              <w:keepLines w:val="0"/>
              <w:pageBreakBefore w:val="0"/>
              <w:widowControl w:val="0"/>
              <w:suppressLineNumbers w:val="0"/>
              <w:shd w:val="clear"/>
              <w:kinsoku/>
              <w:wordWrap/>
              <w:overflowPunct/>
              <w:topLinePunct w:val="0"/>
              <w:autoSpaceDE/>
              <w:autoSpaceDN/>
              <w:bidi w:val="0"/>
              <w:adjustRightInd/>
              <w:snapToGrid/>
              <w:spacing w:line="440" w:lineRule="exact"/>
              <w:jc w:val="center"/>
              <w:textAlignment w:val="center"/>
              <w:rPr>
                <w:rFonts w:hint="eastAsia" w:ascii="黑体" w:hAnsi="宋体" w:eastAsia="黑体" w:cs="黑体"/>
                <w:i w:val="0"/>
                <w:iCs w:val="0"/>
                <w:color w:val="auto"/>
                <w:sz w:val="28"/>
                <w:szCs w:val="28"/>
                <w:highlight w:val="none"/>
                <w:u w:val="none"/>
              </w:rPr>
            </w:pPr>
            <w:r>
              <w:rPr>
                <w:rFonts w:hint="eastAsia" w:ascii="黑体" w:hAnsi="宋体" w:eastAsia="黑体" w:cs="黑体"/>
                <w:i w:val="0"/>
                <w:iCs w:val="0"/>
                <w:color w:val="auto"/>
                <w:kern w:val="0"/>
                <w:sz w:val="28"/>
                <w:szCs w:val="28"/>
                <w:highlight w:val="none"/>
                <w:u w:val="none"/>
                <w:lang w:val="en-US" w:eastAsia="zh-CN" w:bidi="ar"/>
              </w:rPr>
              <w:t>涉及事项</w:t>
            </w:r>
          </w:p>
        </w:tc>
        <w:tc>
          <w:tcPr>
            <w:tcW w:w="1598" w:type="dxa"/>
            <w:tcBorders>
              <w:tl2br w:val="nil"/>
              <w:tr2bl w:val="nil"/>
            </w:tcBorders>
            <w:shd w:val="clear" w:color="auto" w:fill="auto"/>
            <w:noWrap/>
            <w:vAlign w:val="center"/>
          </w:tcPr>
          <w:p w14:paraId="4D9EC92B">
            <w:pPr>
              <w:keepNext w:val="0"/>
              <w:keepLines w:val="0"/>
              <w:pageBreakBefore w:val="0"/>
              <w:widowControl w:val="0"/>
              <w:suppressLineNumbers w:val="0"/>
              <w:shd w:val="clear"/>
              <w:kinsoku/>
              <w:wordWrap/>
              <w:overflowPunct/>
              <w:topLinePunct w:val="0"/>
              <w:autoSpaceDE/>
              <w:autoSpaceDN/>
              <w:bidi w:val="0"/>
              <w:adjustRightInd/>
              <w:snapToGrid/>
              <w:spacing w:line="440" w:lineRule="exact"/>
              <w:jc w:val="center"/>
              <w:textAlignment w:val="center"/>
              <w:rPr>
                <w:rFonts w:hint="eastAsia" w:ascii="黑体" w:hAnsi="宋体" w:eastAsia="黑体" w:cs="黑体"/>
                <w:i w:val="0"/>
                <w:iCs w:val="0"/>
                <w:color w:val="auto"/>
                <w:sz w:val="28"/>
                <w:szCs w:val="28"/>
                <w:highlight w:val="none"/>
                <w:u w:val="none"/>
              </w:rPr>
            </w:pPr>
            <w:r>
              <w:rPr>
                <w:rFonts w:hint="eastAsia" w:ascii="黑体" w:hAnsi="宋体" w:eastAsia="黑体" w:cs="黑体"/>
                <w:i w:val="0"/>
                <w:iCs w:val="0"/>
                <w:color w:val="auto"/>
                <w:kern w:val="0"/>
                <w:sz w:val="28"/>
                <w:szCs w:val="28"/>
                <w:highlight w:val="none"/>
                <w:u w:val="none"/>
                <w:lang w:val="en-US" w:eastAsia="zh-CN" w:bidi="ar"/>
              </w:rPr>
              <w:t>牵头部门</w:t>
            </w:r>
          </w:p>
        </w:tc>
        <w:tc>
          <w:tcPr>
            <w:tcW w:w="2673" w:type="dxa"/>
            <w:tcBorders>
              <w:tl2br w:val="nil"/>
              <w:tr2bl w:val="nil"/>
            </w:tcBorders>
            <w:shd w:val="clear" w:color="auto" w:fill="auto"/>
            <w:noWrap/>
            <w:vAlign w:val="center"/>
          </w:tcPr>
          <w:p w14:paraId="3A00C78F">
            <w:pPr>
              <w:keepNext w:val="0"/>
              <w:keepLines w:val="0"/>
              <w:pageBreakBefore w:val="0"/>
              <w:widowControl w:val="0"/>
              <w:suppressLineNumbers w:val="0"/>
              <w:shd w:val="clear"/>
              <w:kinsoku/>
              <w:wordWrap/>
              <w:overflowPunct/>
              <w:topLinePunct w:val="0"/>
              <w:autoSpaceDE/>
              <w:autoSpaceDN/>
              <w:bidi w:val="0"/>
              <w:adjustRightInd/>
              <w:snapToGrid/>
              <w:spacing w:line="440" w:lineRule="exact"/>
              <w:jc w:val="center"/>
              <w:textAlignment w:val="center"/>
              <w:rPr>
                <w:rFonts w:hint="eastAsia" w:ascii="黑体" w:hAnsi="宋体" w:eastAsia="黑体" w:cs="黑体"/>
                <w:i w:val="0"/>
                <w:iCs w:val="0"/>
                <w:color w:val="auto"/>
                <w:sz w:val="28"/>
                <w:szCs w:val="28"/>
                <w:highlight w:val="none"/>
                <w:u w:val="none"/>
              </w:rPr>
            </w:pPr>
            <w:r>
              <w:rPr>
                <w:rFonts w:hint="eastAsia" w:ascii="黑体" w:hAnsi="宋体" w:eastAsia="黑体" w:cs="黑体"/>
                <w:i w:val="0"/>
                <w:iCs w:val="0"/>
                <w:color w:val="auto"/>
                <w:kern w:val="0"/>
                <w:sz w:val="28"/>
                <w:szCs w:val="28"/>
                <w:highlight w:val="none"/>
                <w:u w:val="none"/>
                <w:lang w:val="en-US" w:eastAsia="zh-CN" w:bidi="ar"/>
              </w:rPr>
              <w:t>配合部门</w:t>
            </w:r>
          </w:p>
        </w:tc>
      </w:tr>
      <w:tr w14:paraId="6D6CDD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PrEx>
        <w:trPr>
          <w:trHeight w:val="510" w:hRule="atLeast"/>
          <w:jc w:val="center"/>
        </w:trPr>
        <w:tc>
          <w:tcPr>
            <w:tcW w:w="806" w:type="dxa"/>
            <w:vMerge w:val="restart"/>
            <w:tcBorders>
              <w:tl2br w:val="nil"/>
              <w:tr2bl w:val="nil"/>
            </w:tcBorders>
            <w:shd w:val="clear" w:color="auto" w:fill="auto"/>
            <w:noWrap/>
            <w:vAlign w:val="center"/>
          </w:tcPr>
          <w:p w14:paraId="4139A160">
            <w:pPr>
              <w:keepNext w:val="0"/>
              <w:keepLines w:val="0"/>
              <w:pageBreakBefore w:val="0"/>
              <w:widowControl w:val="0"/>
              <w:suppressLineNumbers w:val="0"/>
              <w:shd w:val="clear"/>
              <w:kinsoku/>
              <w:overflowPunct/>
              <w:topLinePunct w:val="0"/>
              <w:bidi w:val="0"/>
              <w:adjustRightInd/>
              <w:snapToGrid/>
              <w:jc w:val="center"/>
              <w:textAlignment w:val="center"/>
              <w:rPr>
                <w:rFonts w:hint="default" w:ascii="仿宋_GB2312" w:hAnsi="宋体" w:eastAsia="仿宋_GB2312" w:cs="仿宋_GB2312"/>
                <w:i w:val="0"/>
                <w:iCs w:val="0"/>
                <w:color w:val="auto"/>
                <w:sz w:val="24"/>
                <w:szCs w:val="24"/>
                <w:highlight w:val="none"/>
                <w:u w:val="none"/>
                <w:lang w:val="en-US" w:eastAsia="zh-CN"/>
              </w:rPr>
            </w:pPr>
            <w:r>
              <w:rPr>
                <w:rFonts w:hint="eastAsia" w:ascii="仿宋_GB2312" w:hAnsi="宋体" w:eastAsia="仿宋_GB2312" w:cs="仿宋_GB2312"/>
                <w:i w:val="0"/>
                <w:iCs w:val="0"/>
                <w:color w:val="auto"/>
                <w:sz w:val="24"/>
                <w:szCs w:val="24"/>
                <w:highlight w:val="none"/>
                <w:u w:val="none"/>
                <w:lang w:val="en-US" w:eastAsia="zh-CN"/>
              </w:rPr>
              <w:t>1</w:t>
            </w:r>
          </w:p>
        </w:tc>
        <w:tc>
          <w:tcPr>
            <w:tcW w:w="3345" w:type="dxa"/>
            <w:vMerge w:val="restart"/>
            <w:tcBorders>
              <w:tl2br w:val="nil"/>
              <w:tr2bl w:val="nil"/>
            </w:tcBorders>
            <w:shd w:val="clear" w:color="auto" w:fill="auto"/>
            <w:noWrap/>
            <w:vAlign w:val="center"/>
          </w:tcPr>
          <w:p w14:paraId="73705290">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sz w:val="24"/>
                <w:szCs w:val="24"/>
                <w:highlight w:val="none"/>
                <w:u w:val="none"/>
                <w:lang w:eastAsia="zh-CN"/>
              </w:rPr>
            </w:pPr>
            <w:r>
              <w:rPr>
                <w:rFonts w:hint="eastAsia" w:ascii="仿宋_GB2312" w:hAnsi="宋体" w:eastAsia="仿宋_GB2312" w:cs="仿宋_GB2312"/>
                <w:i w:val="0"/>
                <w:iCs w:val="0"/>
                <w:color w:val="auto"/>
                <w:sz w:val="24"/>
                <w:szCs w:val="24"/>
                <w:highlight w:val="none"/>
                <w:u w:val="none"/>
                <w:lang w:val="en-US" w:eastAsia="zh-CN"/>
              </w:rPr>
              <w:t>农产品交易市场安全生产“一件事”</w:t>
            </w:r>
          </w:p>
        </w:tc>
        <w:tc>
          <w:tcPr>
            <w:tcW w:w="6990" w:type="dxa"/>
            <w:tcBorders>
              <w:tl2br w:val="nil"/>
              <w:tr2bl w:val="nil"/>
            </w:tcBorders>
            <w:shd w:val="clear" w:color="auto" w:fill="auto"/>
            <w:noWrap w:val="0"/>
            <w:vAlign w:val="center"/>
          </w:tcPr>
          <w:p w14:paraId="1FEFE32D">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对农产品交易市场经营主体及商户安全管理责任落实情况开展督导检查；推动菜市场标准化建设，提升改造硬件设施，从源头降低安全风险</w:t>
            </w:r>
          </w:p>
        </w:tc>
        <w:tc>
          <w:tcPr>
            <w:tcW w:w="1598" w:type="dxa"/>
            <w:vMerge w:val="restart"/>
            <w:tcBorders>
              <w:tl2br w:val="nil"/>
              <w:tr2bl w:val="nil"/>
            </w:tcBorders>
            <w:shd w:val="clear" w:color="auto" w:fill="auto"/>
            <w:noWrap/>
            <w:vAlign w:val="center"/>
          </w:tcPr>
          <w:p w14:paraId="0B1CE09B">
            <w:pPr>
              <w:keepNext w:val="0"/>
              <w:keepLines w:val="0"/>
              <w:pageBreakBefore w:val="0"/>
              <w:widowControl w:val="0"/>
              <w:suppressLineNumbers w:val="0"/>
              <w:shd w:val="clear"/>
              <w:kinsoku/>
              <w:overflowPunct/>
              <w:topLinePunct w:val="0"/>
              <w:bidi w:val="0"/>
              <w:adjustRightInd/>
              <w:snapToGrid/>
              <w:jc w:val="center"/>
              <w:textAlignment w:val="center"/>
              <w:rPr>
                <w:rFonts w:hint="default"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商务局</w:t>
            </w:r>
          </w:p>
        </w:tc>
        <w:tc>
          <w:tcPr>
            <w:tcW w:w="2673" w:type="dxa"/>
            <w:tcBorders>
              <w:tl2br w:val="nil"/>
              <w:tr2bl w:val="nil"/>
            </w:tcBorders>
            <w:shd w:val="clear" w:color="auto" w:fill="auto"/>
            <w:noWrap/>
            <w:vAlign w:val="center"/>
          </w:tcPr>
          <w:p w14:paraId="2BF2AEDC">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商务局</w:t>
            </w:r>
          </w:p>
        </w:tc>
      </w:tr>
      <w:tr w14:paraId="53110C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PrEx>
        <w:trPr>
          <w:trHeight w:val="510" w:hRule="atLeast"/>
          <w:jc w:val="center"/>
        </w:trPr>
        <w:tc>
          <w:tcPr>
            <w:tcW w:w="806" w:type="dxa"/>
            <w:vMerge w:val="continue"/>
            <w:tcBorders>
              <w:tl2br w:val="nil"/>
              <w:tr2bl w:val="nil"/>
            </w:tcBorders>
            <w:shd w:val="clear" w:color="auto" w:fill="auto"/>
            <w:noWrap/>
            <w:vAlign w:val="center"/>
          </w:tcPr>
          <w:p w14:paraId="18D07A35">
            <w:pPr>
              <w:keepNext w:val="0"/>
              <w:keepLines w:val="0"/>
              <w:pageBreakBefore w:val="0"/>
              <w:widowControl w:val="0"/>
              <w:shd w:val="clear"/>
              <w:kinsoku/>
              <w:overflowPunct/>
              <w:topLinePunct w:val="0"/>
              <w:bidi w:val="0"/>
              <w:adjustRightInd/>
              <w:snapToGrid/>
              <w:jc w:val="center"/>
              <w:rPr>
                <w:rFonts w:hint="eastAsia" w:ascii="仿宋_GB2312" w:hAnsi="宋体" w:eastAsia="仿宋_GB2312" w:cs="仿宋_GB2312"/>
                <w:i w:val="0"/>
                <w:iCs w:val="0"/>
                <w:color w:val="auto"/>
                <w:sz w:val="24"/>
                <w:szCs w:val="24"/>
                <w:highlight w:val="none"/>
                <w:u w:val="none"/>
              </w:rPr>
            </w:pPr>
          </w:p>
        </w:tc>
        <w:tc>
          <w:tcPr>
            <w:tcW w:w="3345" w:type="dxa"/>
            <w:vMerge w:val="continue"/>
            <w:tcBorders>
              <w:tl2br w:val="nil"/>
              <w:tr2bl w:val="nil"/>
            </w:tcBorders>
            <w:shd w:val="clear" w:color="auto" w:fill="auto"/>
            <w:noWrap/>
            <w:vAlign w:val="center"/>
          </w:tcPr>
          <w:p w14:paraId="720AAA3D">
            <w:pPr>
              <w:keepNext w:val="0"/>
              <w:keepLines w:val="0"/>
              <w:pageBreakBefore w:val="0"/>
              <w:widowControl w:val="0"/>
              <w:shd w:val="clear"/>
              <w:kinsoku/>
              <w:overflowPunct/>
              <w:topLinePunct w:val="0"/>
              <w:bidi w:val="0"/>
              <w:adjustRightInd/>
              <w:snapToGrid/>
              <w:jc w:val="center"/>
              <w:rPr>
                <w:rFonts w:hint="eastAsia" w:ascii="仿宋_GB2312" w:hAnsi="宋体" w:eastAsia="仿宋_GB2312" w:cs="仿宋_GB2312"/>
                <w:i w:val="0"/>
                <w:iCs w:val="0"/>
                <w:color w:val="auto"/>
                <w:sz w:val="24"/>
                <w:szCs w:val="24"/>
                <w:highlight w:val="none"/>
                <w:u w:val="none"/>
              </w:rPr>
            </w:pPr>
          </w:p>
        </w:tc>
        <w:tc>
          <w:tcPr>
            <w:tcW w:w="6990" w:type="dxa"/>
            <w:tcBorders>
              <w:tl2br w:val="nil"/>
              <w:tr2bl w:val="nil"/>
            </w:tcBorders>
            <w:shd w:val="clear" w:color="auto" w:fill="auto"/>
            <w:noWrap/>
            <w:vAlign w:val="center"/>
          </w:tcPr>
          <w:p w14:paraId="265A3140">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加强治安管理及其他有关安全监管事项</w:t>
            </w:r>
          </w:p>
        </w:tc>
        <w:tc>
          <w:tcPr>
            <w:tcW w:w="1598" w:type="dxa"/>
            <w:vMerge w:val="continue"/>
            <w:tcBorders>
              <w:tl2br w:val="nil"/>
              <w:tr2bl w:val="nil"/>
            </w:tcBorders>
            <w:shd w:val="clear" w:color="auto" w:fill="auto"/>
            <w:noWrap/>
            <w:vAlign w:val="center"/>
          </w:tcPr>
          <w:p w14:paraId="500AD851">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p>
        </w:tc>
        <w:tc>
          <w:tcPr>
            <w:tcW w:w="2673" w:type="dxa"/>
            <w:tcBorders>
              <w:tl2br w:val="nil"/>
              <w:tr2bl w:val="nil"/>
            </w:tcBorders>
            <w:shd w:val="clear" w:color="auto" w:fill="auto"/>
            <w:noWrap/>
            <w:vAlign w:val="center"/>
          </w:tcPr>
          <w:p w14:paraId="44368B6C">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公安分局</w:t>
            </w:r>
          </w:p>
        </w:tc>
      </w:tr>
      <w:tr w14:paraId="760005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PrEx>
        <w:trPr>
          <w:trHeight w:val="510" w:hRule="atLeast"/>
          <w:jc w:val="center"/>
        </w:trPr>
        <w:tc>
          <w:tcPr>
            <w:tcW w:w="806" w:type="dxa"/>
            <w:vMerge w:val="continue"/>
            <w:tcBorders>
              <w:tl2br w:val="nil"/>
              <w:tr2bl w:val="nil"/>
            </w:tcBorders>
            <w:shd w:val="clear" w:color="auto" w:fill="auto"/>
            <w:noWrap/>
            <w:vAlign w:val="center"/>
          </w:tcPr>
          <w:p w14:paraId="239DAD5D">
            <w:pPr>
              <w:keepNext w:val="0"/>
              <w:keepLines w:val="0"/>
              <w:pageBreakBefore w:val="0"/>
              <w:widowControl w:val="0"/>
              <w:shd w:val="clear"/>
              <w:kinsoku/>
              <w:overflowPunct/>
              <w:topLinePunct w:val="0"/>
              <w:bidi w:val="0"/>
              <w:adjustRightInd/>
              <w:snapToGrid/>
              <w:jc w:val="center"/>
              <w:rPr>
                <w:rFonts w:hint="eastAsia" w:ascii="仿宋_GB2312" w:hAnsi="宋体" w:eastAsia="仿宋_GB2312" w:cs="仿宋_GB2312"/>
                <w:i w:val="0"/>
                <w:iCs w:val="0"/>
                <w:color w:val="auto"/>
                <w:sz w:val="24"/>
                <w:szCs w:val="24"/>
                <w:highlight w:val="none"/>
                <w:u w:val="none"/>
              </w:rPr>
            </w:pPr>
          </w:p>
        </w:tc>
        <w:tc>
          <w:tcPr>
            <w:tcW w:w="3345" w:type="dxa"/>
            <w:vMerge w:val="continue"/>
            <w:tcBorders>
              <w:tl2br w:val="nil"/>
              <w:tr2bl w:val="nil"/>
            </w:tcBorders>
            <w:shd w:val="clear" w:color="auto" w:fill="auto"/>
            <w:noWrap/>
            <w:vAlign w:val="center"/>
          </w:tcPr>
          <w:p w14:paraId="7D397FE7">
            <w:pPr>
              <w:keepNext w:val="0"/>
              <w:keepLines w:val="0"/>
              <w:pageBreakBefore w:val="0"/>
              <w:widowControl w:val="0"/>
              <w:shd w:val="clear"/>
              <w:kinsoku/>
              <w:overflowPunct/>
              <w:topLinePunct w:val="0"/>
              <w:bidi w:val="0"/>
              <w:adjustRightInd/>
              <w:snapToGrid/>
              <w:jc w:val="center"/>
              <w:rPr>
                <w:rFonts w:hint="eastAsia" w:ascii="仿宋_GB2312" w:hAnsi="宋体" w:eastAsia="仿宋_GB2312" w:cs="仿宋_GB2312"/>
                <w:i w:val="0"/>
                <w:iCs w:val="0"/>
                <w:color w:val="auto"/>
                <w:sz w:val="24"/>
                <w:szCs w:val="24"/>
                <w:highlight w:val="none"/>
                <w:u w:val="none"/>
              </w:rPr>
            </w:pPr>
          </w:p>
        </w:tc>
        <w:tc>
          <w:tcPr>
            <w:tcW w:w="6990" w:type="dxa"/>
            <w:tcBorders>
              <w:tl2br w:val="nil"/>
              <w:tr2bl w:val="nil"/>
            </w:tcBorders>
            <w:shd w:val="clear" w:color="auto" w:fill="auto"/>
            <w:noWrap/>
            <w:vAlign w:val="center"/>
          </w:tcPr>
          <w:p w14:paraId="29342EAB">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依法加强对已履行基本建设程序的农产品交易市场，未经验收投入使用的监管</w:t>
            </w:r>
          </w:p>
        </w:tc>
        <w:tc>
          <w:tcPr>
            <w:tcW w:w="1598" w:type="dxa"/>
            <w:vMerge w:val="continue"/>
            <w:tcBorders>
              <w:tl2br w:val="nil"/>
              <w:tr2bl w:val="nil"/>
            </w:tcBorders>
            <w:shd w:val="clear" w:color="auto" w:fill="auto"/>
            <w:noWrap/>
            <w:vAlign w:val="center"/>
          </w:tcPr>
          <w:p w14:paraId="7691A947">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p>
        </w:tc>
        <w:tc>
          <w:tcPr>
            <w:tcW w:w="2673" w:type="dxa"/>
            <w:tcBorders>
              <w:tl2br w:val="nil"/>
              <w:tr2bl w:val="nil"/>
            </w:tcBorders>
            <w:shd w:val="clear" w:color="auto" w:fill="auto"/>
            <w:noWrap/>
            <w:vAlign w:val="center"/>
          </w:tcPr>
          <w:p w14:paraId="2C46C955">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住房建设委</w:t>
            </w:r>
          </w:p>
        </w:tc>
      </w:tr>
      <w:tr w14:paraId="621FC1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PrEx>
        <w:trPr>
          <w:trHeight w:val="510" w:hRule="atLeast"/>
          <w:jc w:val="center"/>
        </w:trPr>
        <w:tc>
          <w:tcPr>
            <w:tcW w:w="806" w:type="dxa"/>
            <w:vMerge w:val="continue"/>
            <w:tcBorders>
              <w:tl2br w:val="nil"/>
              <w:tr2bl w:val="nil"/>
            </w:tcBorders>
            <w:shd w:val="clear" w:color="auto" w:fill="auto"/>
            <w:noWrap/>
            <w:vAlign w:val="center"/>
          </w:tcPr>
          <w:p w14:paraId="225B342A">
            <w:pPr>
              <w:keepNext w:val="0"/>
              <w:keepLines w:val="0"/>
              <w:pageBreakBefore w:val="0"/>
              <w:widowControl w:val="0"/>
              <w:shd w:val="clear"/>
              <w:kinsoku/>
              <w:overflowPunct/>
              <w:topLinePunct w:val="0"/>
              <w:bidi w:val="0"/>
              <w:adjustRightInd/>
              <w:snapToGrid/>
              <w:jc w:val="center"/>
              <w:rPr>
                <w:rFonts w:hint="eastAsia" w:ascii="仿宋_GB2312" w:hAnsi="宋体" w:eastAsia="仿宋_GB2312" w:cs="仿宋_GB2312"/>
                <w:i w:val="0"/>
                <w:iCs w:val="0"/>
                <w:color w:val="auto"/>
                <w:sz w:val="24"/>
                <w:szCs w:val="24"/>
                <w:highlight w:val="none"/>
                <w:u w:val="none"/>
              </w:rPr>
            </w:pPr>
          </w:p>
        </w:tc>
        <w:tc>
          <w:tcPr>
            <w:tcW w:w="3345" w:type="dxa"/>
            <w:vMerge w:val="continue"/>
            <w:tcBorders>
              <w:tl2br w:val="nil"/>
              <w:tr2bl w:val="nil"/>
            </w:tcBorders>
            <w:shd w:val="clear" w:color="auto" w:fill="auto"/>
            <w:noWrap/>
            <w:vAlign w:val="center"/>
          </w:tcPr>
          <w:p w14:paraId="79EBA9A3">
            <w:pPr>
              <w:keepNext w:val="0"/>
              <w:keepLines w:val="0"/>
              <w:pageBreakBefore w:val="0"/>
              <w:widowControl w:val="0"/>
              <w:shd w:val="clear"/>
              <w:kinsoku/>
              <w:overflowPunct/>
              <w:topLinePunct w:val="0"/>
              <w:bidi w:val="0"/>
              <w:adjustRightInd/>
              <w:snapToGrid/>
              <w:jc w:val="center"/>
              <w:rPr>
                <w:rFonts w:hint="eastAsia" w:ascii="仿宋_GB2312" w:hAnsi="宋体" w:eastAsia="仿宋_GB2312" w:cs="仿宋_GB2312"/>
                <w:i w:val="0"/>
                <w:iCs w:val="0"/>
                <w:color w:val="auto"/>
                <w:sz w:val="24"/>
                <w:szCs w:val="24"/>
                <w:highlight w:val="none"/>
                <w:u w:val="none"/>
              </w:rPr>
            </w:pPr>
          </w:p>
        </w:tc>
        <w:tc>
          <w:tcPr>
            <w:tcW w:w="6990" w:type="dxa"/>
            <w:tcBorders>
              <w:tl2br w:val="nil"/>
              <w:tr2bl w:val="nil"/>
            </w:tcBorders>
            <w:shd w:val="clear" w:color="auto" w:fill="auto"/>
            <w:noWrap/>
            <w:vAlign w:val="center"/>
          </w:tcPr>
          <w:p w14:paraId="4FD31335">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组织燃气经营企业对农产品交易市场燃气用户的燃气设施开展入户安全检查</w:t>
            </w:r>
          </w:p>
        </w:tc>
        <w:tc>
          <w:tcPr>
            <w:tcW w:w="1598" w:type="dxa"/>
            <w:vMerge w:val="continue"/>
            <w:tcBorders>
              <w:tl2br w:val="nil"/>
              <w:tr2bl w:val="nil"/>
            </w:tcBorders>
            <w:shd w:val="clear" w:color="auto" w:fill="auto"/>
            <w:noWrap/>
            <w:vAlign w:val="center"/>
          </w:tcPr>
          <w:p w14:paraId="662DE85F">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p>
        </w:tc>
        <w:tc>
          <w:tcPr>
            <w:tcW w:w="2673" w:type="dxa"/>
            <w:tcBorders>
              <w:tl2br w:val="nil"/>
              <w:tr2bl w:val="nil"/>
            </w:tcBorders>
            <w:shd w:val="clear" w:color="auto" w:fill="auto"/>
            <w:noWrap/>
            <w:vAlign w:val="center"/>
          </w:tcPr>
          <w:p w14:paraId="7AF9A6F6">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城市管理委</w:t>
            </w:r>
          </w:p>
        </w:tc>
      </w:tr>
      <w:tr w14:paraId="0BFE12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PrEx>
        <w:trPr>
          <w:trHeight w:val="510" w:hRule="atLeast"/>
          <w:jc w:val="center"/>
        </w:trPr>
        <w:tc>
          <w:tcPr>
            <w:tcW w:w="806" w:type="dxa"/>
            <w:vMerge w:val="continue"/>
            <w:tcBorders>
              <w:tl2br w:val="nil"/>
              <w:tr2bl w:val="nil"/>
            </w:tcBorders>
            <w:shd w:val="clear" w:color="auto" w:fill="auto"/>
            <w:noWrap/>
            <w:vAlign w:val="center"/>
          </w:tcPr>
          <w:p w14:paraId="37D9A1B4">
            <w:pPr>
              <w:keepNext w:val="0"/>
              <w:keepLines w:val="0"/>
              <w:pageBreakBefore w:val="0"/>
              <w:widowControl w:val="0"/>
              <w:shd w:val="clear"/>
              <w:kinsoku/>
              <w:overflowPunct/>
              <w:topLinePunct w:val="0"/>
              <w:bidi w:val="0"/>
              <w:adjustRightInd/>
              <w:snapToGrid/>
              <w:jc w:val="center"/>
              <w:rPr>
                <w:rFonts w:hint="eastAsia" w:ascii="仿宋_GB2312" w:hAnsi="宋体" w:eastAsia="仿宋_GB2312" w:cs="仿宋_GB2312"/>
                <w:i w:val="0"/>
                <w:iCs w:val="0"/>
                <w:color w:val="auto"/>
                <w:sz w:val="24"/>
                <w:szCs w:val="24"/>
                <w:highlight w:val="none"/>
                <w:u w:val="none"/>
              </w:rPr>
            </w:pPr>
          </w:p>
        </w:tc>
        <w:tc>
          <w:tcPr>
            <w:tcW w:w="3345" w:type="dxa"/>
            <w:vMerge w:val="continue"/>
            <w:tcBorders>
              <w:tl2br w:val="nil"/>
              <w:tr2bl w:val="nil"/>
            </w:tcBorders>
            <w:shd w:val="clear" w:color="auto" w:fill="auto"/>
            <w:noWrap/>
            <w:vAlign w:val="center"/>
          </w:tcPr>
          <w:p w14:paraId="2082475A">
            <w:pPr>
              <w:keepNext w:val="0"/>
              <w:keepLines w:val="0"/>
              <w:pageBreakBefore w:val="0"/>
              <w:widowControl w:val="0"/>
              <w:shd w:val="clear"/>
              <w:kinsoku/>
              <w:overflowPunct/>
              <w:topLinePunct w:val="0"/>
              <w:bidi w:val="0"/>
              <w:adjustRightInd/>
              <w:snapToGrid/>
              <w:jc w:val="center"/>
              <w:rPr>
                <w:rFonts w:hint="eastAsia" w:ascii="仿宋_GB2312" w:hAnsi="宋体" w:eastAsia="仿宋_GB2312" w:cs="仿宋_GB2312"/>
                <w:i w:val="0"/>
                <w:iCs w:val="0"/>
                <w:color w:val="auto"/>
                <w:sz w:val="24"/>
                <w:szCs w:val="24"/>
                <w:highlight w:val="none"/>
                <w:u w:val="none"/>
              </w:rPr>
            </w:pPr>
          </w:p>
        </w:tc>
        <w:tc>
          <w:tcPr>
            <w:tcW w:w="6990" w:type="dxa"/>
            <w:tcBorders>
              <w:tl2br w:val="nil"/>
              <w:tr2bl w:val="nil"/>
            </w:tcBorders>
            <w:shd w:val="clear" w:color="auto" w:fill="auto"/>
            <w:noWrap/>
            <w:vAlign w:val="center"/>
          </w:tcPr>
          <w:p w14:paraId="3CD9847E">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农产品交易市场内批发、零售企业自有冷库运行的安全检查；对涉及农产品交易市场制冷作业等特种作业人员举报事项的查处</w:t>
            </w:r>
          </w:p>
        </w:tc>
        <w:tc>
          <w:tcPr>
            <w:tcW w:w="1598" w:type="dxa"/>
            <w:vMerge w:val="continue"/>
            <w:tcBorders>
              <w:tl2br w:val="nil"/>
              <w:tr2bl w:val="nil"/>
            </w:tcBorders>
            <w:shd w:val="clear" w:color="auto" w:fill="auto"/>
            <w:noWrap/>
            <w:vAlign w:val="center"/>
          </w:tcPr>
          <w:p w14:paraId="02AB2B5D">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p>
        </w:tc>
        <w:tc>
          <w:tcPr>
            <w:tcW w:w="2673" w:type="dxa"/>
            <w:tcBorders>
              <w:tl2br w:val="nil"/>
              <w:tr2bl w:val="nil"/>
            </w:tcBorders>
            <w:shd w:val="clear" w:color="auto" w:fill="auto"/>
            <w:noWrap/>
            <w:vAlign w:val="center"/>
          </w:tcPr>
          <w:p w14:paraId="50FFCB2D">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应急管理局</w:t>
            </w:r>
          </w:p>
        </w:tc>
      </w:tr>
      <w:tr w14:paraId="5BA69D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PrEx>
        <w:trPr>
          <w:trHeight w:val="510" w:hRule="atLeast"/>
          <w:jc w:val="center"/>
        </w:trPr>
        <w:tc>
          <w:tcPr>
            <w:tcW w:w="806" w:type="dxa"/>
            <w:vMerge w:val="continue"/>
            <w:tcBorders>
              <w:tl2br w:val="nil"/>
              <w:tr2bl w:val="nil"/>
            </w:tcBorders>
            <w:shd w:val="clear" w:color="auto" w:fill="auto"/>
            <w:noWrap/>
            <w:vAlign w:val="center"/>
          </w:tcPr>
          <w:p w14:paraId="38CEB8C5">
            <w:pPr>
              <w:keepNext w:val="0"/>
              <w:keepLines w:val="0"/>
              <w:pageBreakBefore w:val="0"/>
              <w:widowControl w:val="0"/>
              <w:shd w:val="clear"/>
              <w:kinsoku/>
              <w:overflowPunct/>
              <w:topLinePunct w:val="0"/>
              <w:bidi w:val="0"/>
              <w:adjustRightInd/>
              <w:snapToGrid/>
              <w:jc w:val="center"/>
              <w:rPr>
                <w:rFonts w:hint="eastAsia" w:ascii="仿宋_GB2312" w:hAnsi="宋体" w:eastAsia="仿宋_GB2312" w:cs="仿宋_GB2312"/>
                <w:i w:val="0"/>
                <w:iCs w:val="0"/>
                <w:color w:val="auto"/>
                <w:sz w:val="24"/>
                <w:szCs w:val="24"/>
                <w:highlight w:val="none"/>
                <w:u w:val="none"/>
              </w:rPr>
            </w:pPr>
          </w:p>
        </w:tc>
        <w:tc>
          <w:tcPr>
            <w:tcW w:w="3345" w:type="dxa"/>
            <w:vMerge w:val="continue"/>
            <w:tcBorders>
              <w:tl2br w:val="nil"/>
              <w:tr2bl w:val="nil"/>
            </w:tcBorders>
            <w:shd w:val="clear" w:color="auto" w:fill="auto"/>
            <w:noWrap/>
            <w:vAlign w:val="center"/>
          </w:tcPr>
          <w:p w14:paraId="0F280C8D">
            <w:pPr>
              <w:keepNext w:val="0"/>
              <w:keepLines w:val="0"/>
              <w:pageBreakBefore w:val="0"/>
              <w:widowControl w:val="0"/>
              <w:shd w:val="clear"/>
              <w:kinsoku/>
              <w:overflowPunct/>
              <w:topLinePunct w:val="0"/>
              <w:bidi w:val="0"/>
              <w:adjustRightInd/>
              <w:snapToGrid/>
              <w:jc w:val="center"/>
              <w:rPr>
                <w:rFonts w:hint="eastAsia" w:ascii="仿宋_GB2312" w:hAnsi="宋体" w:eastAsia="仿宋_GB2312" w:cs="仿宋_GB2312"/>
                <w:i w:val="0"/>
                <w:iCs w:val="0"/>
                <w:color w:val="auto"/>
                <w:sz w:val="24"/>
                <w:szCs w:val="24"/>
                <w:highlight w:val="none"/>
                <w:u w:val="none"/>
              </w:rPr>
            </w:pPr>
          </w:p>
        </w:tc>
        <w:tc>
          <w:tcPr>
            <w:tcW w:w="6990" w:type="dxa"/>
            <w:tcBorders>
              <w:tl2br w:val="nil"/>
              <w:tr2bl w:val="nil"/>
            </w:tcBorders>
            <w:shd w:val="clear" w:color="auto" w:fill="auto"/>
            <w:noWrap/>
            <w:vAlign w:val="center"/>
          </w:tcPr>
          <w:p w14:paraId="79EB05B6">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农产品交易市场内特种设备的安全监察，对无照经营的经营主体依法进行处理</w:t>
            </w:r>
          </w:p>
        </w:tc>
        <w:tc>
          <w:tcPr>
            <w:tcW w:w="1598" w:type="dxa"/>
            <w:vMerge w:val="continue"/>
            <w:tcBorders>
              <w:tl2br w:val="nil"/>
              <w:tr2bl w:val="nil"/>
            </w:tcBorders>
            <w:shd w:val="clear" w:color="auto" w:fill="auto"/>
            <w:noWrap/>
            <w:vAlign w:val="center"/>
          </w:tcPr>
          <w:p w14:paraId="14047954">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p>
        </w:tc>
        <w:tc>
          <w:tcPr>
            <w:tcW w:w="2673" w:type="dxa"/>
            <w:tcBorders>
              <w:tl2br w:val="nil"/>
              <w:tr2bl w:val="nil"/>
            </w:tcBorders>
            <w:shd w:val="clear" w:color="auto" w:fill="auto"/>
            <w:noWrap/>
            <w:vAlign w:val="center"/>
          </w:tcPr>
          <w:p w14:paraId="262CF9EB">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市场监管局</w:t>
            </w:r>
          </w:p>
        </w:tc>
      </w:tr>
      <w:tr w14:paraId="689FC9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PrEx>
        <w:trPr>
          <w:trHeight w:val="510" w:hRule="atLeast"/>
          <w:jc w:val="center"/>
        </w:trPr>
        <w:tc>
          <w:tcPr>
            <w:tcW w:w="806" w:type="dxa"/>
            <w:vMerge w:val="continue"/>
            <w:tcBorders>
              <w:tl2br w:val="nil"/>
              <w:tr2bl w:val="nil"/>
            </w:tcBorders>
            <w:shd w:val="clear" w:color="auto" w:fill="auto"/>
            <w:noWrap/>
            <w:vAlign w:val="center"/>
          </w:tcPr>
          <w:p w14:paraId="03CC2623">
            <w:pPr>
              <w:keepNext w:val="0"/>
              <w:keepLines w:val="0"/>
              <w:pageBreakBefore w:val="0"/>
              <w:widowControl w:val="0"/>
              <w:shd w:val="clear"/>
              <w:kinsoku/>
              <w:overflowPunct/>
              <w:topLinePunct w:val="0"/>
              <w:bidi w:val="0"/>
              <w:adjustRightInd/>
              <w:snapToGrid/>
              <w:jc w:val="center"/>
              <w:rPr>
                <w:rFonts w:hint="eastAsia" w:ascii="仿宋_GB2312" w:hAnsi="宋体" w:eastAsia="仿宋_GB2312" w:cs="仿宋_GB2312"/>
                <w:i w:val="0"/>
                <w:iCs w:val="0"/>
                <w:color w:val="auto"/>
                <w:sz w:val="24"/>
                <w:szCs w:val="24"/>
                <w:highlight w:val="none"/>
                <w:u w:val="none"/>
              </w:rPr>
            </w:pPr>
          </w:p>
        </w:tc>
        <w:tc>
          <w:tcPr>
            <w:tcW w:w="3345" w:type="dxa"/>
            <w:vMerge w:val="continue"/>
            <w:tcBorders>
              <w:tl2br w:val="nil"/>
              <w:tr2bl w:val="nil"/>
            </w:tcBorders>
            <w:shd w:val="clear" w:color="auto" w:fill="auto"/>
            <w:noWrap/>
            <w:vAlign w:val="center"/>
          </w:tcPr>
          <w:p w14:paraId="51C53768">
            <w:pPr>
              <w:keepNext w:val="0"/>
              <w:keepLines w:val="0"/>
              <w:pageBreakBefore w:val="0"/>
              <w:widowControl w:val="0"/>
              <w:shd w:val="clear"/>
              <w:kinsoku/>
              <w:overflowPunct/>
              <w:topLinePunct w:val="0"/>
              <w:bidi w:val="0"/>
              <w:adjustRightInd/>
              <w:snapToGrid/>
              <w:jc w:val="center"/>
              <w:rPr>
                <w:rFonts w:hint="eastAsia" w:ascii="仿宋_GB2312" w:hAnsi="宋体" w:eastAsia="仿宋_GB2312" w:cs="仿宋_GB2312"/>
                <w:i w:val="0"/>
                <w:iCs w:val="0"/>
                <w:color w:val="auto"/>
                <w:sz w:val="24"/>
                <w:szCs w:val="24"/>
                <w:highlight w:val="none"/>
                <w:u w:val="none"/>
              </w:rPr>
            </w:pPr>
          </w:p>
        </w:tc>
        <w:tc>
          <w:tcPr>
            <w:tcW w:w="6990" w:type="dxa"/>
            <w:tcBorders>
              <w:tl2br w:val="nil"/>
              <w:tr2bl w:val="nil"/>
            </w:tcBorders>
            <w:shd w:val="clear" w:color="auto" w:fill="auto"/>
            <w:noWrap/>
            <w:vAlign w:val="center"/>
          </w:tcPr>
          <w:p w14:paraId="59BC407D">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依法对相关经营主体和个人遵守消防法律法规情况实施监督检查</w:t>
            </w:r>
          </w:p>
        </w:tc>
        <w:tc>
          <w:tcPr>
            <w:tcW w:w="1598" w:type="dxa"/>
            <w:vMerge w:val="continue"/>
            <w:tcBorders>
              <w:tl2br w:val="nil"/>
              <w:tr2bl w:val="nil"/>
            </w:tcBorders>
            <w:shd w:val="clear" w:color="auto" w:fill="auto"/>
            <w:noWrap/>
            <w:vAlign w:val="center"/>
          </w:tcPr>
          <w:p w14:paraId="2BE6505C">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p>
        </w:tc>
        <w:tc>
          <w:tcPr>
            <w:tcW w:w="2673" w:type="dxa"/>
            <w:tcBorders>
              <w:tl2br w:val="nil"/>
              <w:tr2bl w:val="nil"/>
            </w:tcBorders>
            <w:shd w:val="clear" w:color="auto" w:fill="auto"/>
            <w:noWrap/>
            <w:vAlign w:val="center"/>
          </w:tcPr>
          <w:p w14:paraId="14EA23A3">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消防救援局</w:t>
            </w:r>
          </w:p>
        </w:tc>
      </w:tr>
      <w:tr w14:paraId="60E3E8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PrEx>
        <w:trPr>
          <w:trHeight w:val="510" w:hRule="atLeast"/>
          <w:jc w:val="center"/>
        </w:trPr>
        <w:tc>
          <w:tcPr>
            <w:tcW w:w="806" w:type="dxa"/>
            <w:vMerge w:val="restart"/>
            <w:tcBorders>
              <w:tl2br w:val="nil"/>
              <w:tr2bl w:val="nil"/>
            </w:tcBorders>
            <w:shd w:val="clear" w:color="auto" w:fill="auto"/>
            <w:noWrap/>
            <w:vAlign w:val="center"/>
          </w:tcPr>
          <w:p w14:paraId="03284C88">
            <w:pPr>
              <w:keepNext w:val="0"/>
              <w:keepLines w:val="0"/>
              <w:pageBreakBefore w:val="0"/>
              <w:widowControl w:val="0"/>
              <w:suppressLineNumbers w:val="0"/>
              <w:shd w:val="clear"/>
              <w:kinsoku/>
              <w:overflowPunct/>
              <w:topLinePunct w:val="0"/>
              <w:bidi w:val="0"/>
              <w:adjustRightInd/>
              <w:snapToGrid/>
              <w:jc w:val="center"/>
              <w:textAlignment w:val="center"/>
              <w:rPr>
                <w:rFonts w:hint="default" w:ascii="仿宋_GB2312" w:hAnsi="宋体" w:eastAsia="仿宋_GB2312" w:cs="仿宋_GB2312"/>
                <w:i w:val="0"/>
                <w:iCs w:val="0"/>
                <w:color w:val="auto"/>
                <w:sz w:val="24"/>
                <w:szCs w:val="24"/>
                <w:highlight w:val="none"/>
                <w:u w:val="none"/>
                <w:lang w:val="en-US" w:eastAsia="zh-CN"/>
              </w:rPr>
            </w:pPr>
            <w:r>
              <w:rPr>
                <w:rFonts w:hint="eastAsia" w:ascii="仿宋_GB2312" w:hAnsi="宋体" w:eastAsia="仿宋_GB2312" w:cs="仿宋_GB2312"/>
                <w:i w:val="0"/>
                <w:iCs w:val="0"/>
                <w:color w:val="auto"/>
                <w:sz w:val="24"/>
                <w:szCs w:val="24"/>
                <w:highlight w:val="none"/>
                <w:u w:val="none"/>
                <w:lang w:val="en-US" w:eastAsia="zh-CN"/>
              </w:rPr>
              <w:t>2</w:t>
            </w:r>
          </w:p>
        </w:tc>
        <w:tc>
          <w:tcPr>
            <w:tcW w:w="3345" w:type="dxa"/>
            <w:vMerge w:val="restart"/>
            <w:tcBorders>
              <w:tl2br w:val="nil"/>
              <w:tr2bl w:val="nil"/>
            </w:tcBorders>
            <w:shd w:val="clear" w:color="auto" w:fill="auto"/>
            <w:noWrap/>
            <w:vAlign w:val="center"/>
          </w:tcPr>
          <w:p w14:paraId="15DF426F">
            <w:pPr>
              <w:keepNext w:val="0"/>
              <w:keepLines w:val="0"/>
              <w:pageBreakBefore w:val="0"/>
              <w:widowControl w:val="0"/>
              <w:suppressLineNumbers w:val="0"/>
              <w:shd w:val="clear"/>
              <w:tabs>
                <w:tab w:val="left" w:pos="828"/>
              </w:tabs>
              <w:kinsoku/>
              <w:overflowPunct/>
              <w:topLinePunct w:val="0"/>
              <w:bidi w:val="0"/>
              <w:adjustRightInd/>
              <w:snapToGrid/>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管线施工</w:t>
            </w:r>
            <w:r>
              <w:rPr>
                <w:rFonts w:hint="eastAsia" w:ascii="仿宋_GB2312" w:hAnsi="宋体" w:eastAsia="仿宋_GB2312" w:cs="仿宋_GB2312"/>
                <w:i w:val="0"/>
                <w:iCs w:val="0"/>
                <w:color w:val="auto"/>
                <w:sz w:val="24"/>
                <w:szCs w:val="24"/>
                <w:highlight w:val="none"/>
                <w:u w:val="none"/>
                <w:lang w:val="en-US" w:eastAsia="zh-CN"/>
              </w:rPr>
              <w:t>“</w:t>
            </w:r>
            <w:r>
              <w:rPr>
                <w:rFonts w:hint="eastAsia" w:ascii="仿宋_GB2312" w:hAnsi="宋体" w:eastAsia="仿宋_GB2312" w:cs="仿宋_GB2312"/>
                <w:i w:val="0"/>
                <w:iCs w:val="0"/>
                <w:color w:val="auto"/>
                <w:kern w:val="0"/>
                <w:sz w:val="24"/>
                <w:szCs w:val="24"/>
                <w:highlight w:val="none"/>
                <w:u w:val="none"/>
                <w:lang w:val="en-US" w:eastAsia="zh-CN" w:bidi="ar"/>
              </w:rPr>
              <w:t>一件事</w:t>
            </w:r>
            <w:r>
              <w:rPr>
                <w:rFonts w:hint="eastAsia" w:ascii="仿宋_GB2312" w:hAnsi="宋体" w:eastAsia="仿宋_GB2312" w:cs="仿宋_GB2312"/>
                <w:i w:val="0"/>
                <w:iCs w:val="0"/>
                <w:color w:val="auto"/>
                <w:sz w:val="24"/>
                <w:szCs w:val="24"/>
                <w:highlight w:val="none"/>
                <w:u w:val="none"/>
                <w:lang w:val="en-US" w:eastAsia="zh-CN"/>
              </w:rPr>
              <w:t>”</w:t>
            </w:r>
          </w:p>
        </w:tc>
        <w:tc>
          <w:tcPr>
            <w:tcW w:w="6990" w:type="dxa"/>
            <w:tcBorders>
              <w:tl2br w:val="nil"/>
              <w:tr2bl w:val="nil"/>
            </w:tcBorders>
            <w:shd w:val="clear" w:color="auto" w:fill="auto"/>
            <w:noWrap w:val="0"/>
            <w:vAlign w:val="center"/>
          </w:tcPr>
          <w:p w14:paraId="2168EC1B">
            <w:pPr>
              <w:keepNext w:val="0"/>
              <w:keepLines w:val="0"/>
              <w:pageBreakBefore w:val="0"/>
              <w:widowControl w:val="0"/>
              <w:suppressLineNumbers w:val="0"/>
              <w:shd w:val="clear"/>
              <w:tabs>
                <w:tab w:val="left" w:pos="828"/>
              </w:tabs>
              <w:kinsoku/>
              <w:overflowPunct/>
              <w:topLinePunct w:val="0"/>
              <w:bidi w:val="0"/>
              <w:adjustRightInd/>
              <w:snapToGrid/>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临时占用、挖掘城市道路及依附城市道路建设管线、杆线等设施许可</w:t>
            </w:r>
          </w:p>
        </w:tc>
        <w:tc>
          <w:tcPr>
            <w:tcW w:w="1598" w:type="dxa"/>
            <w:vMerge w:val="restart"/>
            <w:tcBorders>
              <w:tl2br w:val="nil"/>
              <w:tr2bl w:val="nil"/>
            </w:tcBorders>
            <w:shd w:val="clear" w:color="auto" w:fill="auto"/>
            <w:noWrap/>
            <w:vAlign w:val="center"/>
          </w:tcPr>
          <w:p w14:paraId="2A19B5F7">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sz w:val="24"/>
                <w:szCs w:val="24"/>
                <w:highlight w:val="none"/>
                <w:u w:val="none"/>
                <w:lang w:val="en-US" w:eastAsia="zh-CN"/>
              </w:rPr>
              <w:t>政务服务办</w:t>
            </w:r>
          </w:p>
        </w:tc>
        <w:tc>
          <w:tcPr>
            <w:tcW w:w="2673" w:type="dxa"/>
            <w:tcBorders>
              <w:tl2br w:val="nil"/>
              <w:tr2bl w:val="nil"/>
            </w:tcBorders>
            <w:shd w:val="clear" w:color="auto" w:fill="auto"/>
            <w:noWrap/>
            <w:vAlign w:val="center"/>
          </w:tcPr>
          <w:p w14:paraId="4B3083AC">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sz w:val="24"/>
                <w:szCs w:val="24"/>
                <w:highlight w:val="none"/>
                <w:u w:val="none"/>
                <w:lang w:val="en-US" w:eastAsia="zh-CN"/>
              </w:rPr>
              <w:t>政务服务办</w:t>
            </w:r>
          </w:p>
        </w:tc>
      </w:tr>
      <w:tr w14:paraId="1FB471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PrEx>
        <w:trPr>
          <w:trHeight w:val="510" w:hRule="atLeast"/>
          <w:jc w:val="center"/>
        </w:trPr>
        <w:tc>
          <w:tcPr>
            <w:tcW w:w="806" w:type="dxa"/>
            <w:vMerge w:val="continue"/>
            <w:tcBorders>
              <w:tl2br w:val="nil"/>
              <w:tr2bl w:val="nil"/>
            </w:tcBorders>
            <w:shd w:val="clear" w:color="auto" w:fill="auto"/>
            <w:noWrap/>
            <w:vAlign w:val="center"/>
          </w:tcPr>
          <w:p w14:paraId="2F4C4FDB">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sz w:val="24"/>
                <w:szCs w:val="24"/>
                <w:highlight w:val="none"/>
                <w:u w:val="none"/>
                <w:lang w:val="en-US" w:eastAsia="zh-CN"/>
              </w:rPr>
            </w:pPr>
          </w:p>
        </w:tc>
        <w:tc>
          <w:tcPr>
            <w:tcW w:w="3345" w:type="dxa"/>
            <w:vMerge w:val="continue"/>
            <w:tcBorders>
              <w:tl2br w:val="nil"/>
              <w:tr2bl w:val="nil"/>
            </w:tcBorders>
            <w:shd w:val="clear" w:color="auto" w:fill="auto"/>
            <w:noWrap/>
            <w:vAlign w:val="center"/>
          </w:tcPr>
          <w:p w14:paraId="61DFF9E6">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sz w:val="24"/>
                <w:szCs w:val="24"/>
                <w:highlight w:val="none"/>
                <w:u w:val="none"/>
                <w:lang w:val="en-US" w:eastAsia="zh-CN"/>
              </w:rPr>
            </w:pPr>
          </w:p>
        </w:tc>
        <w:tc>
          <w:tcPr>
            <w:tcW w:w="6990" w:type="dxa"/>
            <w:tcBorders>
              <w:tl2br w:val="nil"/>
              <w:tr2bl w:val="nil"/>
            </w:tcBorders>
            <w:shd w:val="clear" w:color="auto" w:fill="auto"/>
            <w:noWrap w:val="0"/>
            <w:vAlign w:val="center"/>
          </w:tcPr>
          <w:p w14:paraId="2E606D38">
            <w:pPr>
              <w:keepNext w:val="0"/>
              <w:keepLines w:val="0"/>
              <w:pageBreakBefore w:val="0"/>
              <w:widowControl w:val="0"/>
              <w:suppressLineNumbers w:val="0"/>
              <w:shd w:val="clear"/>
              <w:tabs>
                <w:tab w:val="left" w:pos="828"/>
              </w:tabs>
              <w:kinsoku/>
              <w:overflowPunct/>
              <w:topLinePunct w:val="0"/>
              <w:bidi w:val="0"/>
              <w:adjustRightInd/>
              <w:snapToGrid/>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工程建设涉及城市绿地、树木许可—临时占用城市绿化用地许可</w:t>
            </w:r>
          </w:p>
        </w:tc>
        <w:tc>
          <w:tcPr>
            <w:tcW w:w="1598" w:type="dxa"/>
            <w:vMerge w:val="continue"/>
            <w:tcBorders>
              <w:tl2br w:val="nil"/>
              <w:tr2bl w:val="nil"/>
            </w:tcBorders>
            <w:shd w:val="clear" w:color="auto" w:fill="auto"/>
            <w:noWrap/>
            <w:vAlign w:val="center"/>
          </w:tcPr>
          <w:p w14:paraId="15EB737D">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sz w:val="24"/>
                <w:szCs w:val="24"/>
                <w:highlight w:val="none"/>
                <w:u w:val="none"/>
                <w:lang w:val="en-US" w:eastAsia="zh-CN"/>
              </w:rPr>
            </w:pPr>
          </w:p>
        </w:tc>
        <w:tc>
          <w:tcPr>
            <w:tcW w:w="2673" w:type="dxa"/>
            <w:tcBorders>
              <w:tl2br w:val="nil"/>
              <w:tr2bl w:val="nil"/>
            </w:tcBorders>
            <w:shd w:val="clear" w:color="auto" w:fill="auto"/>
            <w:noWrap/>
            <w:vAlign w:val="center"/>
          </w:tcPr>
          <w:p w14:paraId="4515766B">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kern w:val="2"/>
                <w:sz w:val="24"/>
                <w:szCs w:val="24"/>
                <w:highlight w:val="none"/>
                <w:u w:val="none"/>
                <w:lang w:val="en-US" w:eastAsia="zh-CN" w:bidi="ar-SA"/>
              </w:rPr>
            </w:pPr>
            <w:r>
              <w:rPr>
                <w:rFonts w:hint="eastAsia" w:ascii="仿宋_GB2312" w:hAnsi="宋体" w:eastAsia="仿宋_GB2312" w:cs="仿宋_GB2312"/>
                <w:i w:val="0"/>
                <w:iCs w:val="0"/>
                <w:color w:val="auto"/>
                <w:sz w:val="24"/>
                <w:szCs w:val="24"/>
                <w:highlight w:val="none"/>
                <w:u w:val="none"/>
                <w:lang w:val="en-US" w:eastAsia="zh-CN"/>
              </w:rPr>
              <w:t>政务服务办</w:t>
            </w:r>
          </w:p>
        </w:tc>
      </w:tr>
      <w:tr w14:paraId="7C34C0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PrEx>
        <w:trPr>
          <w:trHeight w:val="510" w:hRule="atLeast"/>
          <w:jc w:val="center"/>
        </w:trPr>
        <w:tc>
          <w:tcPr>
            <w:tcW w:w="806" w:type="dxa"/>
            <w:vMerge w:val="continue"/>
            <w:tcBorders>
              <w:tl2br w:val="nil"/>
              <w:tr2bl w:val="nil"/>
            </w:tcBorders>
            <w:shd w:val="clear" w:color="auto" w:fill="auto"/>
            <w:noWrap/>
            <w:vAlign w:val="center"/>
          </w:tcPr>
          <w:p w14:paraId="2E10A2B3">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sz w:val="24"/>
                <w:szCs w:val="24"/>
                <w:highlight w:val="none"/>
                <w:u w:val="none"/>
                <w:lang w:val="en-US" w:eastAsia="zh-CN"/>
              </w:rPr>
            </w:pPr>
          </w:p>
        </w:tc>
        <w:tc>
          <w:tcPr>
            <w:tcW w:w="3345" w:type="dxa"/>
            <w:vMerge w:val="continue"/>
            <w:tcBorders>
              <w:tl2br w:val="nil"/>
              <w:tr2bl w:val="nil"/>
            </w:tcBorders>
            <w:shd w:val="clear" w:color="auto" w:fill="auto"/>
            <w:noWrap/>
            <w:vAlign w:val="center"/>
          </w:tcPr>
          <w:p w14:paraId="475122B6">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sz w:val="24"/>
                <w:szCs w:val="24"/>
                <w:highlight w:val="none"/>
                <w:u w:val="none"/>
                <w:lang w:val="en-US" w:eastAsia="zh-CN"/>
              </w:rPr>
            </w:pPr>
          </w:p>
        </w:tc>
        <w:tc>
          <w:tcPr>
            <w:tcW w:w="6990" w:type="dxa"/>
            <w:tcBorders>
              <w:tl2br w:val="nil"/>
              <w:tr2bl w:val="nil"/>
            </w:tcBorders>
            <w:shd w:val="clear" w:color="auto" w:fill="auto"/>
            <w:noWrap w:val="0"/>
            <w:vAlign w:val="center"/>
          </w:tcPr>
          <w:p w14:paraId="31782F82">
            <w:pPr>
              <w:keepNext w:val="0"/>
              <w:keepLines w:val="0"/>
              <w:pageBreakBefore w:val="0"/>
              <w:widowControl w:val="0"/>
              <w:suppressLineNumbers w:val="0"/>
              <w:shd w:val="clear"/>
              <w:tabs>
                <w:tab w:val="left" w:pos="828"/>
              </w:tabs>
              <w:kinsoku/>
              <w:overflowPunct/>
              <w:topLinePunct w:val="0"/>
              <w:bidi w:val="0"/>
              <w:adjustRightInd/>
              <w:snapToGrid/>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勘查、开采矿藏和各项建设工程使用林地许可</w:t>
            </w:r>
          </w:p>
        </w:tc>
        <w:tc>
          <w:tcPr>
            <w:tcW w:w="1598" w:type="dxa"/>
            <w:vMerge w:val="continue"/>
            <w:tcBorders>
              <w:tl2br w:val="nil"/>
              <w:tr2bl w:val="nil"/>
            </w:tcBorders>
            <w:shd w:val="clear" w:color="auto" w:fill="auto"/>
            <w:noWrap/>
            <w:vAlign w:val="center"/>
          </w:tcPr>
          <w:p w14:paraId="1064D7EE">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sz w:val="24"/>
                <w:szCs w:val="24"/>
                <w:highlight w:val="none"/>
                <w:u w:val="none"/>
                <w:lang w:val="en-US" w:eastAsia="zh-CN"/>
              </w:rPr>
            </w:pPr>
          </w:p>
        </w:tc>
        <w:tc>
          <w:tcPr>
            <w:tcW w:w="2673" w:type="dxa"/>
            <w:tcBorders>
              <w:tl2br w:val="nil"/>
              <w:tr2bl w:val="nil"/>
            </w:tcBorders>
            <w:shd w:val="clear" w:color="auto" w:fill="auto"/>
            <w:noWrap/>
            <w:vAlign w:val="center"/>
          </w:tcPr>
          <w:p w14:paraId="7AB20CB2">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kern w:val="2"/>
                <w:sz w:val="24"/>
                <w:szCs w:val="24"/>
                <w:highlight w:val="none"/>
                <w:u w:val="none"/>
                <w:lang w:val="en-US" w:eastAsia="zh-CN" w:bidi="ar-SA"/>
              </w:rPr>
            </w:pPr>
            <w:r>
              <w:rPr>
                <w:rFonts w:hint="eastAsia" w:ascii="仿宋_GB2312" w:hAnsi="宋体" w:eastAsia="仿宋_GB2312" w:cs="仿宋_GB2312"/>
                <w:i w:val="0"/>
                <w:iCs w:val="0"/>
                <w:color w:val="auto"/>
                <w:sz w:val="24"/>
                <w:szCs w:val="24"/>
                <w:highlight w:val="none"/>
                <w:u w:val="none"/>
                <w:lang w:val="en-US" w:eastAsia="zh-CN"/>
              </w:rPr>
              <w:t>政务服务办</w:t>
            </w:r>
          </w:p>
        </w:tc>
      </w:tr>
      <w:tr w14:paraId="35FB68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PrEx>
        <w:trPr>
          <w:trHeight w:val="510" w:hRule="atLeast"/>
          <w:jc w:val="center"/>
        </w:trPr>
        <w:tc>
          <w:tcPr>
            <w:tcW w:w="806" w:type="dxa"/>
            <w:vMerge w:val="continue"/>
            <w:tcBorders>
              <w:tl2br w:val="nil"/>
              <w:tr2bl w:val="nil"/>
            </w:tcBorders>
            <w:shd w:val="clear" w:color="auto" w:fill="auto"/>
            <w:noWrap/>
            <w:vAlign w:val="center"/>
          </w:tcPr>
          <w:p w14:paraId="70079E71">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sz w:val="24"/>
                <w:szCs w:val="24"/>
                <w:highlight w:val="none"/>
                <w:u w:val="none"/>
                <w:lang w:val="en-US" w:eastAsia="zh-CN"/>
              </w:rPr>
            </w:pPr>
          </w:p>
        </w:tc>
        <w:tc>
          <w:tcPr>
            <w:tcW w:w="3345" w:type="dxa"/>
            <w:vMerge w:val="continue"/>
            <w:tcBorders>
              <w:tl2br w:val="nil"/>
              <w:tr2bl w:val="nil"/>
            </w:tcBorders>
            <w:shd w:val="clear" w:color="auto" w:fill="auto"/>
            <w:noWrap/>
            <w:vAlign w:val="center"/>
          </w:tcPr>
          <w:p w14:paraId="7E27BFE1">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sz w:val="24"/>
                <w:szCs w:val="24"/>
                <w:highlight w:val="none"/>
                <w:u w:val="none"/>
                <w:lang w:val="en-US" w:eastAsia="zh-CN"/>
              </w:rPr>
            </w:pPr>
          </w:p>
        </w:tc>
        <w:tc>
          <w:tcPr>
            <w:tcW w:w="6990" w:type="dxa"/>
            <w:tcBorders>
              <w:tl2br w:val="nil"/>
              <w:tr2bl w:val="nil"/>
            </w:tcBorders>
            <w:shd w:val="clear" w:color="auto" w:fill="auto"/>
            <w:noWrap w:val="0"/>
            <w:vAlign w:val="center"/>
          </w:tcPr>
          <w:p w14:paraId="4BBA2302">
            <w:pPr>
              <w:keepNext w:val="0"/>
              <w:keepLines w:val="0"/>
              <w:pageBreakBefore w:val="0"/>
              <w:widowControl w:val="0"/>
              <w:suppressLineNumbers w:val="0"/>
              <w:shd w:val="clear"/>
              <w:tabs>
                <w:tab w:val="left" w:pos="828"/>
              </w:tabs>
              <w:kinsoku/>
              <w:overflowPunct/>
              <w:topLinePunct w:val="0"/>
              <w:bidi w:val="0"/>
              <w:adjustRightInd/>
              <w:snapToGrid/>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涉路施工交通安全审查—涉路施工交通安全审查（县级权限）</w:t>
            </w:r>
          </w:p>
        </w:tc>
        <w:tc>
          <w:tcPr>
            <w:tcW w:w="1598" w:type="dxa"/>
            <w:vMerge w:val="continue"/>
            <w:tcBorders>
              <w:tl2br w:val="nil"/>
              <w:tr2bl w:val="nil"/>
            </w:tcBorders>
            <w:shd w:val="clear" w:color="auto" w:fill="auto"/>
            <w:noWrap/>
            <w:vAlign w:val="center"/>
          </w:tcPr>
          <w:p w14:paraId="22C2A559">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sz w:val="24"/>
                <w:szCs w:val="24"/>
                <w:highlight w:val="none"/>
                <w:u w:val="none"/>
                <w:lang w:val="en-US" w:eastAsia="zh-CN"/>
              </w:rPr>
            </w:pPr>
          </w:p>
        </w:tc>
        <w:tc>
          <w:tcPr>
            <w:tcW w:w="2673" w:type="dxa"/>
            <w:tcBorders>
              <w:tl2br w:val="nil"/>
              <w:tr2bl w:val="nil"/>
            </w:tcBorders>
            <w:shd w:val="clear" w:color="auto" w:fill="auto"/>
            <w:noWrap/>
            <w:vAlign w:val="center"/>
          </w:tcPr>
          <w:p w14:paraId="294DA848">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sz w:val="24"/>
                <w:highlight w:val="none"/>
                <w:lang w:val="en-US" w:eastAsia="zh-CN"/>
              </w:rPr>
              <w:t>公安分局</w:t>
            </w:r>
          </w:p>
        </w:tc>
      </w:tr>
      <w:tr w14:paraId="69BE2A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PrEx>
        <w:trPr>
          <w:trHeight w:val="482" w:hRule="atLeast"/>
          <w:jc w:val="center"/>
        </w:trPr>
        <w:tc>
          <w:tcPr>
            <w:tcW w:w="806" w:type="dxa"/>
            <w:vMerge w:val="restart"/>
            <w:tcBorders>
              <w:tl2br w:val="nil"/>
              <w:tr2bl w:val="nil"/>
            </w:tcBorders>
            <w:shd w:val="clear" w:color="auto" w:fill="auto"/>
            <w:noWrap/>
            <w:vAlign w:val="center"/>
          </w:tcPr>
          <w:p w14:paraId="36DD052E">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kern w:val="2"/>
                <w:sz w:val="24"/>
                <w:szCs w:val="24"/>
                <w:highlight w:val="none"/>
                <w:u w:val="none"/>
                <w:lang w:val="en-US" w:eastAsia="zh-CN" w:bidi="ar-SA"/>
              </w:rPr>
            </w:pPr>
            <w:r>
              <w:rPr>
                <w:rFonts w:hint="default" w:ascii="仿宋_GB2312" w:hAnsi="宋体" w:eastAsia="仿宋_GB2312" w:cs="仿宋_GB2312"/>
                <w:i w:val="0"/>
                <w:iCs w:val="0"/>
                <w:color w:val="auto"/>
                <w:sz w:val="24"/>
                <w:szCs w:val="24"/>
                <w:highlight w:val="none"/>
                <w:u w:val="none"/>
                <w:lang w:val="en-US" w:eastAsia="zh-CN"/>
              </w:rPr>
              <w:t>3</w:t>
            </w:r>
          </w:p>
        </w:tc>
        <w:tc>
          <w:tcPr>
            <w:tcW w:w="3345" w:type="dxa"/>
            <w:vMerge w:val="restart"/>
            <w:tcBorders>
              <w:tl2br w:val="nil"/>
              <w:tr2bl w:val="nil"/>
            </w:tcBorders>
            <w:shd w:val="clear" w:color="auto" w:fill="auto"/>
            <w:noWrap/>
            <w:vAlign w:val="center"/>
          </w:tcPr>
          <w:p w14:paraId="6B4995A3">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污水集中处理“一件事”</w:t>
            </w:r>
          </w:p>
        </w:tc>
        <w:tc>
          <w:tcPr>
            <w:tcW w:w="6990" w:type="dxa"/>
            <w:tcBorders>
              <w:tl2br w:val="nil"/>
              <w:tr2bl w:val="nil"/>
            </w:tcBorders>
            <w:shd w:val="clear" w:color="auto" w:fill="auto"/>
            <w:noWrap w:val="0"/>
            <w:vAlign w:val="center"/>
          </w:tcPr>
          <w:p w14:paraId="4DBE7DB0">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kern w:val="2"/>
                <w:sz w:val="24"/>
                <w:szCs w:val="24"/>
                <w:highlight w:val="none"/>
                <w:u w:val="none"/>
                <w:lang w:val="en-US" w:eastAsia="zh-CN" w:bidi="ar-SA"/>
              </w:rPr>
            </w:pPr>
            <w:r>
              <w:rPr>
                <w:rFonts w:hint="eastAsia" w:ascii="仿宋_GB2312" w:hAnsi="宋体" w:eastAsia="仿宋_GB2312" w:cs="仿宋_GB2312"/>
                <w:i w:val="0"/>
                <w:iCs w:val="0"/>
                <w:color w:val="auto"/>
                <w:sz w:val="24"/>
                <w:szCs w:val="24"/>
                <w:highlight w:val="none"/>
                <w:u w:val="none"/>
                <w:lang w:val="en-US" w:eastAsia="zh-CN"/>
              </w:rPr>
              <w:t>排污口的设置或扩大许可</w:t>
            </w:r>
          </w:p>
        </w:tc>
        <w:tc>
          <w:tcPr>
            <w:tcW w:w="1598" w:type="dxa"/>
            <w:vMerge w:val="restart"/>
            <w:tcBorders>
              <w:tl2br w:val="nil"/>
              <w:tr2bl w:val="nil"/>
            </w:tcBorders>
            <w:shd w:val="clear" w:color="auto" w:fill="auto"/>
            <w:noWrap/>
            <w:vAlign w:val="center"/>
          </w:tcPr>
          <w:p w14:paraId="285C2B99">
            <w:pPr>
              <w:keepNext w:val="0"/>
              <w:keepLines w:val="0"/>
              <w:pageBreakBefore w:val="0"/>
              <w:widowControl w:val="0"/>
              <w:suppressLineNumbers w:val="0"/>
              <w:shd w:val="clear"/>
              <w:kinsoku/>
              <w:overflowPunct/>
              <w:topLinePunct w:val="0"/>
              <w:bidi w:val="0"/>
              <w:adjustRightInd/>
              <w:snapToGrid/>
              <w:jc w:val="center"/>
              <w:textAlignment w:val="center"/>
              <w:rPr>
                <w:rFonts w:hint="default"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政务服务办</w:t>
            </w:r>
          </w:p>
        </w:tc>
        <w:tc>
          <w:tcPr>
            <w:tcW w:w="2673" w:type="dxa"/>
            <w:tcBorders>
              <w:tl2br w:val="nil"/>
              <w:tr2bl w:val="nil"/>
            </w:tcBorders>
            <w:shd w:val="clear" w:color="auto" w:fill="auto"/>
            <w:noWrap/>
            <w:vAlign w:val="center"/>
          </w:tcPr>
          <w:p w14:paraId="17E8FA46">
            <w:pPr>
              <w:keepNext w:val="0"/>
              <w:keepLines w:val="0"/>
              <w:pageBreakBefore w:val="0"/>
              <w:widowControl w:val="0"/>
              <w:suppressLineNumbers w:val="0"/>
              <w:shd w:val="clear"/>
              <w:kinsoku/>
              <w:overflowPunct/>
              <w:topLinePunct w:val="0"/>
              <w:bidi w:val="0"/>
              <w:adjustRightInd/>
              <w:snapToGrid/>
              <w:jc w:val="center"/>
              <w:textAlignment w:val="center"/>
              <w:rPr>
                <w:rFonts w:hint="default" w:ascii="仿宋_GB2312" w:hAnsi="宋体" w:eastAsia="仿宋_GB2312" w:cs="仿宋_GB2312"/>
                <w:i w:val="0"/>
                <w:iCs w:val="0"/>
                <w:color w:val="auto"/>
                <w:kern w:val="2"/>
                <w:sz w:val="24"/>
                <w:szCs w:val="24"/>
                <w:highlight w:val="none"/>
                <w:u w:val="none"/>
                <w:lang w:val="en-US" w:eastAsia="zh-CN" w:bidi="ar-SA"/>
              </w:rPr>
            </w:pPr>
            <w:r>
              <w:rPr>
                <w:rFonts w:hint="eastAsia" w:ascii="仿宋_GB2312" w:hAnsi="宋体" w:eastAsia="仿宋_GB2312" w:cs="仿宋_GB2312"/>
                <w:i w:val="0"/>
                <w:iCs w:val="0"/>
                <w:color w:val="auto"/>
                <w:kern w:val="0"/>
                <w:sz w:val="24"/>
                <w:szCs w:val="24"/>
                <w:highlight w:val="none"/>
                <w:u w:val="none"/>
                <w:lang w:val="en-US" w:eastAsia="zh-CN" w:bidi="ar"/>
              </w:rPr>
              <w:t>政务服务办</w:t>
            </w:r>
          </w:p>
        </w:tc>
      </w:tr>
      <w:tr w14:paraId="505931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PrEx>
        <w:trPr>
          <w:trHeight w:val="482" w:hRule="atLeast"/>
          <w:jc w:val="center"/>
        </w:trPr>
        <w:tc>
          <w:tcPr>
            <w:tcW w:w="806" w:type="dxa"/>
            <w:vMerge w:val="continue"/>
            <w:tcBorders>
              <w:tl2br w:val="nil"/>
              <w:tr2bl w:val="nil"/>
            </w:tcBorders>
            <w:shd w:val="clear" w:color="auto" w:fill="auto"/>
            <w:noWrap/>
            <w:vAlign w:val="center"/>
          </w:tcPr>
          <w:p w14:paraId="6A20E52D">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sz w:val="24"/>
                <w:szCs w:val="24"/>
                <w:highlight w:val="none"/>
                <w:u w:val="none"/>
                <w:lang w:val="en-US" w:eastAsia="zh-CN"/>
              </w:rPr>
            </w:pPr>
          </w:p>
        </w:tc>
        <w:tc>
          <w:tcPr>
            <w:tcW w:w="3345" w:type="dxa"/>
            <w:vMerge w:val="continue"/>
            <w:tcBorders>
              <w:tl2br w:val="nil"/>
              <w:tr2bl w:val="nil"/>
            </w:tcBorders>
            <w:shd w:val="clear" w:color="auto" w:fill="auto"/>
            <w:noWrap/>
            <w:vAlign w:val="center"/>
          </w:tcPr>
          <w:p w14:paraId="6FE44F61">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p>
        </w:tc>
        <w:tc>
          <w:tcPr>
            <w:tcW w:w="6990" w:type="dxa"/>
            <w:tcBorders>
              <w:tl2br w:val="nil"/>
              <w:tr2bl w:val="nil"/>
            </w:tcBorders>
            <w:shd w:val="clear" w:color="auto" w:fill="auto"/>
            <w:noWrap w:val="0"/>
            <w:vAlign w:val="center"/>
          </w:tcPr>
          <w:p w14:paraId="617C0A5F">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kern w:val="2"/>
                <w:sz w:val="24"/>
                <w:szCs w:val="24"/>
                <w:highlight w:val="none"/>
                <w:u w:val="none"/>
                <w:lang w:val="en-US" w:eastAsia="zh-CN" w:bidi="ar-SA"/>
              </w:rPr>
            </w:pPr>
            <w:r>
              <w:rPr>
                <w:rFonts w:hint="eastAsia" w:ascii="仿宋_GB2312" w:hAnsi="宋体" w:eastAsia="仿宋_GB2312" w:cs="仿宋_GB2312"/>
                <w:i w:val="0"/>
                <w:iCs w:val="0"/>
                <w:color w:val="auto"/>
                <w:sz w:val="24"/>
                <w:szCs w:val="24"/>
                <w:highlight w:val="none"/>
                <w:u w:val="none"/>
                <w:lang w:val="en-US" w:eastAsia="zh-CN"/>
              </w:rPr>
              <w:t>建设项目环境影响报告书（表）许可</w:t>
            </w:r>
          </w:p>
        </w:tc>
        <w:tc>
          <w:tcPr>
            <w:tcW w:w="1598" w:type="dxa"/>
            <w:vMerge w:val="continue"/>
            <w:tcBorders>
              <w:tl2br w:val="nil"/>
              <w:tr2bl w:val="nil"/>
            </w:tcBorders>
            <w:shd w:val="clear" w:color="auto" w:fill="auto"/>
            <w:noWrap/>
            <w:vAlign w:val="center"/>
          </w:tcPr>
          <w:p w14:paraId="49A435B2">
            <w:pPr>
              <w:keepNext w:val="0"/>
              <w:keepLines w:val="0"/>
              <w:pageBreakBefore w:val="0"/>
              <w:widowControl w:val="0"/>
              <w:suppressLineNumbers w:val="0"/>
              <w:shd w:val="clear"/>
              <w:kinsoku/>
              <w:overflowPunct/>
              <w:topLinePunct w:val="0"/>
              <w:bidi w:val="0"/>
              <w:adjustRightInd/>
              <w:snapToGrid/>
              <w:jc w:val="center"/>
              <w:textAlignment w:val="center"/>
              <w:rPr>
                <w:rFonts w:hint="default" w:ascii="仿宋_GB2312" w:hAnsi="宋体" w:eastAsia="仿宋_GB2312" w:cs="仿宋_GB2312"/>
                <w:i w:val="0"/>
                <w:iCs w:val="0"/>
                <w:color w:val="auto"/>
                <w:kern w:val="0"/>
                <w:sz w:val="24"/>
                <w:szCs w:val="24"/>
                <w:highlight w:val="none"/>
                <w:u w:val="none"/>
                <w:lang w:val="en-US" w:eastAsia="zh-CN" w:bidi="ar"/>
              </w:rPr>
            </w:pPr>
          </w:p>
        </w:tc>
        <w:tc>
          <w:tcPr>
            <w:tcW w:w="2673" w:type="dxa"/>
            <w:tcBorders>
              <w:tl2br w:val="nil"/>
              <w:tr2bl w:val="nil"/>
            </w:tcBorders>
            <w:shd w:val="clear" w:color="auto" w:fill="auto"/>
            <w:noWrap/>
            <w:vAlign w:val="center"/>
          </w:tcPr>
          <w:p w14:paraId="00449B9B">
            <w:pPr>
              <w:keepNext w:val="0"/>
              <w:keepLines w:val="0"/>
              <w:pageBreakBefore w:val="0"/>
              <w:widowControl w:val="0"/>
              <w:suppressLineNumbers w:val="0"/>
              <w:shd w:val="clear"/>
              <w:kinsoku/>
              <w:overflowPunct/>
              <w:topLinePunct w:val="0"/>
              <w:bidi w:val="0"/>
              <w:adjustRightInd/>
              <w:snapToGrid/>
              <w:jc w:val="center"/>
              <w:textAlignment w:val="center"/>
              <w:rPr>
                <w:rFonts w:hint="default" w:ascii="仿宋_GB2312" w:hAnsi="宋体" w:eastAsia="仿宋_GB2312" w:cs="仿宋_GB2312"/>
                <w:i w:val="0"/>
                <w:iCs w:val="0"/>
                <w:color w:val="auto"/>
                <w:kern w:val="2"/>
                <w:sz w:val="24"/>
                <w:szCs w:val="24"/>
                <w:highlight w:val="none"/>
                <w:u w:val="none"/>
                <w:lang w:val="en-US" w:eastAsia="zh-CN" w:bidi="ar-SA"/>
              </w:rPr>
            </w:pPr>
            <w:r>
              <w:rPr>
                <w:rFonts w:hint="eastAsia" w:ascii="仿宋_GB2312" w:hAnsi="宋体" w:eastAsia="仿宋_GB2312" w:cs="仿宋_GB2312"/>
                <w:i w:val="0"/>
                <w:iCs w:val="0"/>
                <w:color w:val="auto"/>
                <w:sz w:val="24"/>
                <w:szCs w:val="24"/>
                <w:highlight w:val="none"/>
                <w:u w:val="none"/>
                <w:lang w:val="en-US" w:eastAsia="zh-CN"/>
              </w:rPr>
              <w:t>政务服务办</w:t>
            </w:r>
          </w:p>
        </w:tc>
      </w:tr>
      <w:tr w14:paraId="13E845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PrEx>
        <w:trPr>
          <w:trHeight w:val="482" w:hRule="atLeast"/>
          <w:jc w:val="center"/>
        </w:trPr>
        <w:tc>
          <w:tcPr>
            <w:tcW w:w="806" w:type="dxa"/>
            <w:vMerge w:val="continue"/>
            <w:tcBorders>
              <w:tl2br w:val="nil"/>
              <w:tr2bl w:val="nil"/>
            </w:tcBorders>
            <w:shd w:val="clear" w:color="auto" w:fill="auto"/>
            <w:noWrap/>
            <w:vAlign w:val="center"/>
          </w:tcPr>
          <w:p w14:paraId="5AA183AC">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sz w:val="24"/>
                <w:szCs w:val="24"/>
                <w:highlight w:val="none"/>
                <w:u w:val="none"/>
                <w:lang w:val="en-US" w:eastAsia="zh-CN"/>
              </w:rPr>
            </w:pPr>
          </w:p>
        </w:tc>
        <w:tc>
          <w:tcPr>
            <w:tcW w:w="3345" w:type="dxa"/>
            <w:vMerge w:val="continue"/>
            <w:tcBorders>
              <w:tl2br w:val="nil"/>
              <w:tr2bl w:val="nil"/>
            </w:tcBorders>
            <w:shd w:val="clear" w:color="auto" w:fill="auto"/>
            <w:noWrap/>
            <w:vAlign w:val="center"/>
          </w:tcPr>
          <w:p w14:paraId="39D57255">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p>
        </w:tc>
        <w:tc>
          <w:tcPr>
            <w:tcW w:w="6990" w:type="dxa"/>
            <w:tcBorders>
              <w:tl2br w:val="nil"/>
              <w:tr2bl w:val="nil"/>
            </w:tcBorders>
            <w:shd w:val="clear" w:color="auto" w:fill="auto"/>
            <w:noWrap w:val="0"/>
            <w:vAlign w:val="center"/>
          </w:tcPr>
          <w:p w14:paraId="1E966C83">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kern w:val="2"/>
                <w:sz w:val="24"/>
                <w:szCs w:val="24"/>
                <w:highlight w:val="none"/>
                <w:u w:val="none"/>
                <w:lang w:val="en-US" w:eastAsia="zh-CN" w:bidi="ar-SA"/>
              </w:rPr>
            </w:pPr>
            <w:r>
              <w:rPr>
                <w:rFonts w:hint="eastAsia" w:ascii="仿宋_GB2312" w:hAnsi="宋体" w:eastAsia="仿宋_GB2312" w:cs="仿宋_GB2312"/>
                <w:i w:val="0"/>
                <w:iCs w:val="0"/>
                <w:color w:val="auto"/>
                <w:sz w:val="24"/>
                <w:szCs w:val="24"/>
                <w:highlight w:val="none"/>
                <w:u w:val="none"/>
                <w:lang w:val="en-US" w:eastAsia="zh-CN"/>
              </w:rPr>
              <w:t>排污许可证</w:t>
            </w:r>
          </w:p>
        </w:tc>
        <w:tc>
          <w:tcPr>
            <w:tcW w:w="1598" w:type="dxa"/>
            <w:vMerge w:val="continue"/>
            <w:tcBorders>
              <w:tl2br w:val="nil"/>
              <w:tr2bl w:val="nil"/>
            </w:tcBorders>
            <w:shd w:val="clear" w:color="auto" w:fill="auto"/>
            <w:noWrap/>
            <w:vAlign w:val="center"/>
          </w:tcPr>
          <w:p w14:paraId="096E20B0">
            <w:pPr>
              <w:keepNext w:val="0"/>
              <w:keepLines w:val="0"/>
              <w:pageBreakBefore w:val="0"/>
              <w:widowControl w:val="0"/>
              <w:suppressLineNumbers w:val="0"/>
              <w:shd w:val="clear"/>
              <w:kinsoku/>
              <w:overflowPunct/>
              <w:topLinePunct w:val="0"/>
              <w:bidi w:val="0"/>
              <w:adjustRightInd/>
              <w:snapToGrid/>
              <w:jc w:val="center"/>
              <w:textAlignment w:val="center"/>
              <w:rPr>
                <w:rFonts w:hint="default" w:ascii="仿宋_GB2312" w:hAnsi="宋体" w:eastAsia="仿宋_GB2312" w:cs="仿宋_GB2312"/>
                <w:i w:val="0"/>
                <w:iCs w:val="0"/>
                <w:color w:val="auto"/>
                <w:kern w:val="0"/>
                <w:sz w:val="24"/>
                <w:szCs w:val="24"/>
                <w:highlight w:val="none"/>
                <w:u w:val="none"/>
                <w:lang w:val="en-US" w:eastAsia="zh-CN" w:bidi="ar"/>
              </w:rPr>
            </w:pPr>
          </w:p>
        </w:tc>
        <w:tc>
          <w:tcPr>
            <w:tcW w:w="2673" w:type="dxa"/>
            <w:tcBorders>
              <w:tl2br w:val="nil"/>
              <w:tr2bl w:val="nil"/>
            </w:tcBorders>
            <w:shd w:val="clear" w:color="auto" w:fill="auto"/>
            <w:noWrap/>
            <w:vAlign w:val="center"/>
          </w:tcPr>
          <w:p w14:paraId="2F5F3503">
            <w:pPr>
              <w:keepNext w:val="0"/>
              <w:keepLines w:val="0"/>
              <w:pageBreakBefore w:val="0"/>
              <w:widowControl w:val="0"/>
              <w:suppressLineNumbers w:val="0"/>
              <w:shd w:val="clear"/>
              <w:kinsoku/>
              <w:overflowPunct/>
              <w:topLinePunct w:val="0"/>
              <w:bidi w:val="0"/>
              <w:adjustRightInd/>
              <w:snapToGrid/>
              <w:jc w:val="center"/>
              <w:textAlignment w:val="center"/>
              <w:rPr>
                <w:rFonts w:hint="default" w:ascii="仿宋_GB2312" w:hAnsi="宋体" w:eastAsia="仿宋_GB2312" w:cs="仿宋_GB2312"/>
                <w:i w:val="0"/>
                <w:iCs w:val="0"/>
                <w:color w:val="auto"/>
                <w:kern w:val="2"/>
                <w:sz w:val="24"/>
                <w:szCs w:val="24"/>
                <w:highlight w:val="none"/>
                <w:u w:val="none"/>
                <w:lang w:val="en-US" w:eastAsia="zh-CN" w:bidi="ar-SA"/>
              </w:rPr>
            </w:pPr>
            <w:r>
              <w:rPr>
                <w:rFonts w:hint="eastAsia" w:ascii="仿宋_GB2312" w:hAnsi="宋体" w:eastAsia="仿宋_GB2312" w:cs="仿宋_GB2312"/>
                <w:i w:val="0"/>
                <w:iCs w:val="0"/>
                <w:color w:val="auto"/>
                <w:kern w:val="0"/>
                <w:sz w:val="24"/>
                <w:szCs w:val="24"/>
                <w:highlight w:val="none"/>
                <w:u w:val="none"/>
                <w:lang w:val="en-US" w:eastAsia="zh-CN" w:bidi="ar"/>
              </w:rPr>
              <w:t>政务服务办</w:t>
            </w:r>
          </w:p>
        </w:tc>
      </w:tr>
      <w:tr w14:paraId="3E4BEA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PrEx>
        <w:trPr>
          <w:trHeight w:val="482" w:hRule="atLeast"/>
          <w:jc w:val="center"/>
        </w:trPr>
        <w:tc>
          <w:tcPr>
            <w:tcW w:w="806" w:type="dxa"/>
            <w:vMerge w:val="restart"/>
            <w:tcBorders>
              <w:tl2br w:val="nil"/>
              <w:tr2bl w:val="nil"/>
            </w:tcBorders>
            <w:shd w:val="clear" w:color="auto" w:fill="auto"/>
            <w:noWrap/>
            <w:vAlign w:val="center"/>
          </w:tcPr>
          <w:p w14:paraId="1416A7EC">
            <w:pPr>
              <w:keepNext w:val="0"/>
              <w:keepLines w:val="0"/>
              <w:pageBreakBefore w:val="0"/>
              <w:widowControl w:val="0"/>
              <w:suppressLineNumbers w:val="0"/>
              <w:shd w:val="clear"/>
              <w:kinsoku/>
              <w:overflowPunct/>
              <w:topLinePunct w:val="0"/>
              <w:bidi w:val="0"/>
              <w:adjustRightInd/>
              <w:snapToGrid/>
              <w:jc w:val="center"/>
              <w:textAlignment w:val="center"/>
              <w:rPr>
                <w:rFonts w:hint="default" w:ascii="仿宋_GB2312" w:hAnsi="宋体" w:eastAsia="仿宋_GB2312" w:cs="仿宋_GB2312"/>
                <w:i w:val="0"/>
                <w:iCs w:val="0"/>
                <w:color w:val="auto"/>
                <w:sz w:val="24"/>
                <w:szCs w:val="24"/>
                <w:highlight w:val="none"/>
                <w:u w:val="none"/>
                <w:lang w:val="en-US" w:eastAsia="zh-CN"/>
              </w:rPr>
            </w:pPr>
            <w:r>
              <w:rPr>
                <w:rFonts w:hint="default" w:ascii="仿宋_GB2312" w:hAnsi="宋体" w:eastAsia="仿宋_GB2312" w:cs="仿宋_GB2312"/>
                <w:i w:val="0"/>
                <w:iCs w:val="0"/>
                <w:color w:val="auto"/>
                <w:sz w:val="24"/>
                <w:szCs w:val="24"/>
                <w:highlight w:val="none"/>
                <w:u w:val="none"/>
                <w:lang w:val="en-US" w:eastAsia="zh-CN"/>
              </w:rPr>
              <w:t>4</w:t>
            </w:r>
          </w:p>
        </w:tc>
        <w:tc>
          <w:tcPr>
            <w:tcW w:w="3345" w:type="dxa"/>
            <w:vMerge w:val="restart"/>
            <w:tcBorders>
              <w:tl2br w:val="nil"/>
              <w:tr2bl w:val="nil"/>
            </w:tcBorders>
            <w:shd w:val="clear" w:color="auto" w:fill="auto"/>
            <w:noWrap/>
            <w:vAlign w:val="center"/>
          </w:tcPr>
          <w:p w14:paraId="09F563A1">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灵活就业人员缴存公积金</w:t>
            </w:r>
            <w:r>
              <w:rPr>
                <w:rFonts w:hint="eastAsia" w:ascii="仿宋_GB2312" w:hAnsi="宋体" w:eastAsia="仿宋_GB2312" w:cs="仿宋_GB2312"/>
                <w:i w:val="0"/>
                <w:iCs w:val="0"/>
                <w:color w:val="auto"/>
                <w:sz w:val="24"/>
                <w:szCs w:val="24"/>
                <w:highlight w:val="none"/>
                <w:u w:val="none"/>
                <w:lang w:val="en-US" w:eastAsia="zh-CN"/>
              </w:rPr>
              <w:t>“</w:t>
            </w:r>
            <w:r>
              <w:rPr>
                <w:rFonts w:hint="eastAsia" w:ascii="仿宋_GB2312" w:hAnsi="宋体" w:eastAsia="仿宋_GB2312" w:cs="仿宋_GB2312"/>
                <w:i w:val="0"/>
                <w:iCs w:val="0"/>
                <w:color w:val="auto"/>
                <w:kern w:val="0"/>
                <w:sz w:val="24"/>
                <w:szCs w:val="24"/>
                <w:highlight w:val="none"/>
                <w:u w:val="none"/>
                <w:lang w:val="en-US" w:eastAsia="zh-CN" w:bidi="ar"/>
              </w:rPr>
              <w:t>一件事</w:t>
            </w:r>
            <w:r>
              <w:rPr>
                <w:rFonts w:hint="eastAsia" w:ascii="仿宋_GB2312" w:hAnsi="宋体" w:eastAsia="仿宋_GB2312" w:cs="仿宋_GB2312"/>
                <w:i w:val="0"/>
                <w:iCs w:val="0"/>
                <w:color w:val="auto"/>
                <w:sz w:val="24"/>
                <w:szCs w:val="24"/>
                <w:highlight w:val="none"/>
                <w:u w:val="none"/>
                <w:lang w:val="en-US" w:eastAsia="zh-CN"/>
              </w:rPr>
              <w:t>”</w:t>
            </w:r>
          </w:p>
        </w:tc>
        <w:tc>
          <w:tcPr>
            <w:tcW w:w="6990" w:type="dxa"/>
            <w:tcBorders>
              <w:tl2br w:val="nil"/>
              <w:tr2bl w:val="nil"/>
            </w:tcBorders>
            <w:shd w:val="clear" w:color="auto" w:fill="auto"/>
            <w:noWrap w:val="0"/>
            <w:vAlign w:val="center"/>
          </w:tcPr>
          <w:p w14:paraId="183397D5">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灵活缴存账户设立</w:t>
            </w:r>
          </w:p>
        </w:tc>
        <w:tc>
          <w:tcPr>
            <w:tcW w:w="1598" w:type="dxa"/>
            <w:vMerge w:val="restart"/>
            <w:tcBorders>
              <w:tl2br w:val="nil"/>
              <w:tr2bl w:val="nil"/>
            </w:tcBorders>
            <w:shd w:val="clear" w:color="auto" w:fill="auto"/>
            <w:noWrap/>
            <w:vAlign w:val="center"/>
          </w:tcPr>
          <w:p w14:paraId="5B6E5EF1">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default" w:ascii="仿宋_GB2312" w:hAnsi="宋体" w:eastAsia="仿宋_GB2312" w:cs="仿宋_GB2312"/>
                <w:i w:val="0"/>
                <w:iCs w:val="0"/>
                <w:color w:val="auto"/>
                <w:kern w:val="0"/>
                <w:sz w:val="24"/>
                <w:szCs w:val="24"/>
                <w:highlight w:val="none"/>
                <w:u w:val="none"/>
                <w:lang w:val="en-US" w:eastAsia="zh-CN" w:bidi="ar"/>
              </w:rPr>
              <w:t>公积金中心</w:t>
            </w:r>
            <w:r>
              <w:rPr>
                <w:rFonts w:hint="eastAsia" w:ascii="仿宋_GB2312" w:hAnsi="宋体" w:eastAsia="仿宋_GB2312" w:cs="仿宋_GB2312"/>
                <w:i w:val="0"/>
                <w:iCs w:val="0"/>
                <w:color w:val="auto"/>
                <w:kern w:val="0"/>
                <w:sz w:val="24"/>
                <w:szCs w:val="24"/>
                <w:highlight w:val="none"/>
                <w:u w:val="none"/>
                <w:lang w:val="en-US" w:eastAsia="zh-CN" w:bidi="ar"/>
              </w:rPr>
              <w:t>东丽管理部</w:t>
            </w:r>
          </w:p>
        </w:tc>
        <w:tc>
          <w:tcPr>
            <w:tcW w:w="2673" w:type="dxa"/>
            <w:tcBorders>
              <w:tl2br w:val="nil"/>
              <w:tr2bl w:val="nil"/>
            </w:tcBorders>
            <w:shd w:val="clear" w:color="auto" w:fill="auto"/>
            <w:noWrap/>
            <w:vAlign w:val="center"/>
          </w:tcPr>
          <w:p w14:paraId="33D99EEE">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default" w:ascii="仿宋_GB2312" w:hAnsi="宋体" w:eastAsia="仿宋_GB2312" w:cs="仿宋_GB2312"/>
                <w:i w:val="0"/>
                <w:iCs w:val="0"/>
                <w:color w:val="auto"/>
                <w:kern w:val="0"/>
                <w:sz w:val="24"/>
                <w:szCs w:val="24"/>
                <w:highlight w:val="none"/>
                <w:u w:val="none"/>
                <w:lang w:val="en-US" w:eastAsia="zh-CN" w:bidi="ar"/>
              </w:rPr>
              <w:t>公积金中心</w:t>
            </w:r>
            <w:r>
              <w:rPr>
                <w:rFonts w:hint="eastAsia" w:ascii="仿宋_GB2312" w:hAnsi="宋体" w:eastAsia="仿宋_GB2312" w:cs="仿宋_GB2312"/>
                <w:i w:val="0"/>
                <w:iCs w:val="0"/>
                <w:color w:val="auto"/>
                <w:kern w:val="0"/>
                <w:sz w:val="24"/>
                <w:szCs w:val="24"/>
                <w:highlight w:val="none"/>
                <w:u w:val="none"/>
                <w:lang w:val="en-US" w:eastAsia="zh-CN" w:bidi="ar"/>
              </w:rPr>
              <w:t>东丽管理部</w:t>
            </w:r>
          </w:p>
        </w:tc>
      </w:tr>
      <w:tr w14:paraId="74F53E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PrEx>
        <w:trPr>
          <w:trHeight w:val="482" w:hRule="atLeast"/>
          <w:jc w:val="center"/>
        </w:trPr>
        <w:tc>
          <w:tcPr>
            <w:tcW w:w="806" w:type="dxa"/>
            <w:vMerge w:val="continue"/>
            <w:tcBorders>
              <w:tl2br w:val="nil"/>
              <w:tr2bl w:val="nil"/>
            </w:tcBorders>
            <w:shd w:val="clear" w:color="auto" w:fill="auto"/>
            <w:noWrap/>
            <w:vAlign w:val="center"/>
          </w:tcPr>
          <w:p w14:paraId="66CCCC0E">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sz w:val="24"/>
                <w:szCs w:val="24"/>
                <w:highlight w:val="none"/>
                <w:u w:val="none"/>
                <w:lang w:val="en-US" w:eastAsia="zh-CN"/>
              </w:rPr>
            </w:pPr>
          </w:p>
        </w:tc>
        <w:tc>
          <w:tcPr>
            <w:tcW w:w="3345" w:type="dxa"/>
            <w:vMerge w:val="continue"/>
            <w:tcBorders>
              <w:tl2br w:val="nil"/>
              <w:tr2bl w:val="nil"/>
            </w:tcBorders>
            <w:shd w:val="clear" w:color="auto" w:fill="auto"/>
            <w:noWrap/>
            <w:vAlign w:val="center"/>
          </w:tcPr>
          <w:p w14:paraId="10DFE4B9">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sz w:val="24"/>
                <w:szCs w:val="24"/>
                <w:highlight w:val="none"/>
                <w:u w:val="none"/>
                <w:lang w:val="en-US" w:eastAsia="zh-CN"/>
              </w:rPr>
            </w:pPr>
          </w:p>
        </w:tc>
        <w:tc>
          <w:tcPr>
            <w:tcW w:w="6990" w:type="dxa"/>
            <w:tcBorders>
              <w:tl2br w:val="nil"/>
              <w:tr2bl w:val="nil"/>
            </w:tcBorders>
            <w:shd w:val="clear" w:color="auto" w:fill="auto"/>
            <w:noWrap w:val="0"/>
            <w:vAlign w:val="center"/>
          </w:tcPr>
          <w:p w14:paraId="3F244EE5">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缴存代扣银行卡签约</w:t>
            </w:r>
          </w:p>
        </w:tc>
        <w:tc>
          <w:tcPr>
            <w:tcW w:w="1598" w:type="dxa"/>
            <w:vMerge w:val="continue"/>
            <w:tcBorders>
              <w:tl2br w:val="nil"/>
              <w:tr2bl w:val="nil"/>
            </w:tcBorders>
            <w:shd w:val="clear" w:color="auto" w:fill="auto"/>
            <w:noWrap/>
            <w:vAlign w:val="center"/>
          </w:tcPr>
          <w:p w14:paraId="164CA55B">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sz w:val="24"/>
                <w:szCs w:val="24"/>
                <w:highlight w:val="none"/>
                <w:u w:val="none"/>
                <w:lang w:val="en-US" w:eastAsia="zh-CN"/>
              </w:rPr>
            </w:pPr>
          </w:p>
        </w:tc>
        <w:tc>
          <w:tcPr>
            <w:tcW w:w="2673" w:type="dxa"/>
            <w:tcBorders>
              <w:tl2br w:val="nil"/>
              <w:tr2bl w:val="nil"/>
            </w:tcBorders>
            <w:shd w:val="clear" w:color="auto" w:fill="auto"/>
            <w:noWrap/>
            <w:vAlign w:val="center"/>
          </w:tcPr>
          <w:p w14:paraId="1535E369">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default" w:ascii="仿宋_GB2312" w:hAnsi="宋体" w:eastAsia="仿宋_GB2312" w:cs="仿宋_GB2312"/>
                <w:i w:val="0"/>
                <w:iCs w:val="0"/>
                <w:color w:val="auto"/>
                <w:kern w:val="0"/>
                <w:sz w:val="24"/>
                <w:szCs w:val="24"/>
                <w:highlight w:val="none"/>
                <w:u w:val="none"/>
                <w:lang w:val="en-US" w:eastAsia="zh-CN" w:bidi="ar"/>
              </w:rPr>
              <w:t>公积金中心</w:t>
            </w:r>
            <w:r>
              <w:rPr>
                <w:rFonts w:hint="eastAsia" w:ascii="仿宋_GB2312" w:hAnsi="宋体" w:eastAsia="仿宋_GB2312" w:cs="仿宋_GB2312"/>
                <w:i w:val="0"/>
                <w:iCs w:val="0"/>
                <w:color w:val="auto"/>
                <w:kern w:val="0"/>
                <w:sz w:val="24"/>
                <w:szCs w:val="24"/>
                <w:highlight w:val="none"/>
                <w:u w:val="none"/>
                <w:lang w:val="en-US" w:eastAsia="zh-CN" w:bidi="ar"/>
              </w:rPr>
              <w:t>东丽管理部</w:t>
            </w:r>
            <w:r>
              <w:rPr>
                <w:rFonts w:hint="default" w:ascii="仿宋_GB2312" w:hAnsi="宋体" w:eastAsia="仿宋_GB2312" w:cs="仿宋_GB2312"/>
                <w:i w:val="0"/>
                <w:iCs w:val="0"/>
                <w:color w:val="auto"/>
                <w:kern w:val="0"/>
                <w:sz w:val="24"/>
                <w:szCs w:val="24"/>
                <w:highlight w:val="none"/>
                <w:u w:val="none"/>
                <w:lang w:val="en-US" w:eastAsia="zh-CN" w:bidi="ar"/>
              </w:rPr>
              <w:t>及受托银行</w:t>
            </w:r>
          </w:p>
        </w:tc>
      </w:tr>
      <w:tr w14:paraId="1E285A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PrEx>
        <w:trPr>
          <w:trHeight w:val="482" w:hRule="atLeast"/>
          <w:jc w:val="center"/>
        </w:trPr>
        <w:tc>
          <w:tcPr>
            <w:tcW w:w="806" w:type="dxa"/>
            <w:vMerge w:val="continue"/>
            <w:tcBorders>
              <w:tl2br w:val="nil"/>
              <w:tr2bl w:val="nil"/>
            </w:tcBorders>
            <w:shd w:val="clear" w:color="auto" w:fill="auto"/>
            <w:noWrap/>
            <w:vAlign w:val="center"/>
          </w:tcPr>
          <w:p w14:paraId="4C778AD9">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sz w:val="24"/>
                <w:szCs w:val="24"/>
                <w:highlight w:val="none"/>
                <w:u w:val="none"/>
                <w:lang w:val="en-US" w:eastAsia="zh-CN"/>
              </w:rPr>
            </w:pPr>
          </w:p>
        </w:tc>
        <w:tc>
          <w:tcPr>
            <w:tcW w:w="3345" w:type="dxa"/>
            <w:vMerge w:val="continue"/>
            <w:tcBorders>
              <w:tl2br w:val="nil"/>
              <w:tr2bl w:val="nil"/>
            </w:tcBorders>
            <w:shd w:val="clear" w:color="auto" w:fill="auto"/>
            <w:noWrap/>
            <w:vAlign w:val="center"/>
          </w:tcPr>
          <w:p w14:paraId="6A9B3B2F">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sz w:val="24"/>
                <w:szCs w:val="24"/>
                <w:highlight w:val="none"/>
                <w:u w:val="none"/>
                <w:lang w:val="en-US" w:eastAsia="zh-CN"/>
              </w:rPr>
            </w:pPr>
          </w:p>
        </w:tc>
        <w:tc>
          <w:tcPr>
            <w:tcW w:w="6990" w:type="dxa"/>
            <w:tcBorders>
              <w:tl2br w:val="nil"/>
              <w:tr2bl w:val="nil"/>
            </w:tcBorders>
            <w:shd w:val="clear" w:color="auto" w:fill="auto"/>
            <w:noWrap w:val="0"/>
            <w:vAlign w:val="center"/>
          </w:tcPr>
          <w:p w14:paraId="5E72F056">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灵活就业人员住房公积金缴存</w:t>
            </w:r>
          </w:p>
        </w:tc>
        <w:tc>
          <w:tcPr>
            <w:tcW w:w="1598" w:type="dxa"/>
            <w:vMerge w:val="continue"/>
            <w:tcBorders>
              <w:tl2br w:val="nil"/>
              <w:tr2bl w:val="nil"/>
            </w:tcBorders>
            <w:shd w:val="clear" w:color="auto" w:fill="auto"/>
            <w:noWrap/>
            <w:vAlign w:val="center"/>
          </w:tcPr>
          <w:p w14:paraId="49D39989">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sz w:val="24"/>
                <w:szCs w:val="24"/>
                <w:highlight w:val="none"/>
                <w:u w:val="none"/>
                <w:lang w:val="en-US" w:eastAsia="zh-CN"/>
              </w:rPr>
            </w:pPr>
          </w:p>
        </w:tc>
        <w:tc>
          <w:tcPr>
            <w:tcW w:w="2673" w:type="dxa"/>
            <w:tcBorders>
              <w:tl2br w:val="nil"/>
              <w:tr2bl w:val="nil"/>
            </w:tcBorders>
            <w:shd w:val="clear" w:color="auto" w:fill="auto"/>
            <w:noWrap/>
            <w:vAlign w:val="center"/>
          </w:tcPr>
          <w:p w14:paraId="6572138C">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default" w:ascii="仿宋_GB2312" w:hAnsi="宋体" w:eastAsia="仿宋_GB2312" w:cs="仿宋_GB2312"/>
                <w:i w:val="0"/>
                <w:iCs w:val="0"/>
                <w:color w:val="auto"/>
                <w:kern w:val="0"/>
                <w:sz w:val="24"/>
                <w:szCs w:val="24"/>
                <w:highlight w:val="none"/>
                <w:u w:val="none"/>
                <w:lang w:val="en-US" w:eastAsia="zh-CN" w:bidi="ar"/>
              </w:rPr>
              <w:t>公积金中心</w:t>
            </w:r>
            <w:r>
              <w:rPr>
                <w:rFonts w:hint="eastAsia" w:ascii="仿宋_GB2312" w:hAnsi="宋体" w:eastAsia="仿宋_GB2312" w:cs="仿宋_GB2312"/>
                <w:i w:val="0"/>
                <w:iCs w:val="0"/>
                <w:color w:val="auto"/>
                <w:kern w:val="0"/>
                <w:sz w:val="24"/>
                <w:szCs w:val="24"/>
                <w:highlight w:val="none"/>
                <w:u w:val="none"/>
                <w:lang w:val="en-US" w:eastAsia="zh-CN" w:bidi="ar"/>
              </w:rPr>
              <w:t>东丽管理部</w:t>
            </w:r>
          </w:p>
        </w:tc>
      </w:tr>
      <w:tr w14:paraId="2DF14F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PrEx>
        <w:trPr>
          <w:trHeight w:val="482" w:hRule="atLeast"/>
          <w:jc w:val="center"/>
        </w:trPr>
        <w:tc>
          <w:tcPr>
            <w:tcW w:w="806" w:type="dxa"/>
            <w:vMerge w:val="continue"/>
            <w:tcBorders>
              <w:tl2br w:val="nil"/>
              <w:tr2bl w:val="nil"/>
            </w:tcBorders>
            <w:shd w:val="clear" w:color="auto" w:fill="auto"/>
            <w:noWrap/>
            <w:vAlign w:val="center"/>
          </w:tcPr>
          <w:p w14:paraId="10926F1B">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sz w:val="24"/>
                <w:szCs w:val="24"/>
                <w:highlight w:val="none"/>
                <w:u w:val="none"/>
                <w:lang w:val="en-US" w:eastAsia="zh-CN"/>
              </w:rPr>
            </w:pPr>
          </w:p>
        </w:tc>
        <w:tc>
          <w:tcPr>
            <w:tcW w:w="3345" w:type="dxa"/>
            <w:vMerge w:val="continue"/>
            <w:tcBorders>
              <w:tl2br w:val="nil"/>
              <w:tr2bl w:val="nil"/>
            </w:tcBorders>
            <w:shd w:val="clear" w:color="auto" w:fill="auto"/>
            <w:noWrap/>
            <w:vAlign w:val="center"/>
          </w:tcPr>
          <w:p w14:paraId="3471B088">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sz w:val="24"/>
                <w:szCs w:val="24"/>
                <w:highlight w:val="none"/>
                <w:u w:val="none"/>
                <w:lang w:val="en-US" w:eastAsia="zh-CN"/>
              </w:rPr>
            </w:pPr>
          </w:p>
        </w:tc>
        <w:tc>
          <w:tcPr>
            <w:tcW w:w="6990" w:type="dxa"/>
            <w:tcBorders>
              <w:tl2br w:val="nil"/>
              <w:tr2bl w:val="nil"/>
            </w:tcBorders>
            <w:shd w:val="clear" w:color="auto" w:fill="auto"/>
            <w:noWrap w:val="0"/>
            <w:vAlign w:val="center"/>
          </w:tcPr>
          <w:p w14:paraId="5D550E50">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缴存状态变更</w:t>
            </w:r>
          </w:p>
        </w:tc>
        <w:tc>
          <w:tcPr>
            <w:tcW w:w="1598" w:type="dxa"/>
            <w:vMerge w:val="continue"/>
            <w:tcBorders>
              <w:tl2br w:val="nil"/>
              <w:tr2bl w:val="nil"/>
            </w:tcBorders>
            <w:shd w:val="clear" w:color="auto" w:fill="auto"/>
            <w:noWrap/>
            <w:vAlign w:val="center"/>
          </w:tcPr>
          <w:p w14:paraId="39469E7E">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sz w:val="24"/>
                <w:szCs w:val="24"/>
                <w:highlight w:val="none"/>
                <w:u w:val="none"/>
                <w:lang w:val="en-US" w:eastAsia="zh-CN"/>
              </w:rPr>
            </w:pPr>
          </w:p>
        </w:tc>
        <w:tc>
          <w:tcPr>
            <w:tcW w:w="2673" w:type="dxa"/>
            <w:tcBorders>
              <w:tl2br w:val="nil"/>
              <w:tr2bl w:val="nil"/>
            </w:tcBorders>
            <w:shd w:val="clear" w:color="auto" w:fill="auto"/>
            <w:noWrap/>
            <w:vAlign w:val="center"/>
          </w:tcPr>
          <w:p w14:paraId="78D94B5A">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default" w:ascii="仿宋_GB2312" w:hAnsi="宋体" w:eastAsia="仿宋_GB2312" w:cs="仿宋_GB2312"/>
                <w:i w:val="0"/>
                <w:iCs w:val="0"/>
                <w:color w:val="auto"/>
                <w:kern w:val="0"/>
                <w:sz w:val="24"/>
                <w:szCs w:val="24"/>
                <w:highlight w:val="none"/>
                <w:u w:val="none"/>
                <w:lang w:val="en-US" w:eastAsia="zh-CN" w:bidi="ar"/>
              </w:rPr>
              <w:t>公积金中心</w:t>
            </w:r>
            <w:r>
              <w:rPr>
                <w:rFonts w:hint="eastAsia" w:ascii="仿宋_GB2312" w:hAnsi="宋体" w:eastAsia="仿宋_GB2312" w:cs="仿宋_GB2312"/>
                <w:i w:val="0"/>
                <w:iCs w:val="0"/>
                <w:color w:val="auto"/>
                <w:kern w:val="0"/>
                <w:sz w:val="24"/>
                <w:szCs w:val="24"/>
                <w:highlight w:val="none"/>
                <w:u w:val="none"/>
                <w:lang w:val="en-US" w:eastAsia="zh-CN" w:bidi="ar"/>
              </w:rPr>
              <w:t>东丽管理部</w:t>
            </w:r>
          </w:p>
        </w:tc>
      </w:tr>
      <w:tr w14:paraId="0CC127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PrEx>
        <w:trPr>
          <w:trHeight w:val="482" w:hRule="atLeast"/>
          <w:jc w:val="center"/>
        </w:trPr>
        <w:tc>
          <w:tcPr>
            <w:tcW w:w="806" w:type="dxa"/>
            <w:vMerge w:val="restart"/>
            <w:tcBorders>
              <w:tl2br w:val="nil"/>
              <w:tr2bl w:val="nil"/>
            </w:tcBorders>
            <w:shd w:val="clear" w:color="auto" w:fill="auto"/>
            <w:noWrap/>
            <w:vAlign w:val="center"/>
          </w:tcPr>
          <w:p w14:paraId="54F7E91E">
            <w:pPr>
              <w:keepNext w:val="0"/>
              <w:keepLines w:val="0"/>
              <w:pageBreakBefore w:val="0"/>
              <w:widowControl w:val="0"/>
              <w:shd w:val="clear"/>
              <w:kinsoku/>
              <w:overflowPunct/>
              <w:topLinePunct w:val="0"/>
              <w:bidi w:val="0"/>
              <w:adjustRightInd/>
              <w:snapToGrid/>
              <w:jc w:val="center"/>
              <w:rPr>
                <w:rFonts w:hint="default" w:ascii="仿宋_GB2312" w:hAnsi="宋体" w:eastAsia="仿宋_GB2312" w:cs="仿宋_GB2312"/>
                <w:i w:val="0"/>
                <w:iCs w:val="0"/>
                <w:color w:val="auto"/>
                <w:kern w:val="2"/>
                <w:sz w:val="24"/>
                <w:szCs w:val="24"/>
                <w:highlight w:val="none"/>
                <w:u w:val="none"/>
                <w:lang w:val="en-US" w:eastAsia="zh-CN" w:bidi="ar-SA"/>
              </w:rPr>
            </w:pPr>
            <w:r>
              <w:rPr>
                <w:rFonts w:hint="default" w:ascii="仿宋_GB2312" w:hAnsi="宋体" w:eastAsia="仿宋_GB2312" w:cs="仿宋_GB2312"/>
                <w:i w:val="0"/>
                <w:iCs w:val="0"/>
                <w:color w:val="auto"/>
                <w:sz w:val="24"/>
                <w:szCs w:val="24"/>
                <w:highlight w:val="none"/>
                <w:u w:val="none"/>
                <w:lang w:val="en-US" w:eastAsia="zh-CN"/>
              </w:rPr>
              <w:t>5</w:t>
            </w:r>
          </w:p>
        </w:tc>
        <w:tc>
          <w:tcPr>
            <w:tcW w:w="3345" w:type="dxa"/>
            <w:vMerge w:val="restart"/>
            <w:tcBorders>
              <w:tl2br w:val="nil"/>
              <w:tr2bl w:val="nil"/>
            </w:tcBorders>
            <w:shd w:val="clear" w:color="auto" w:fill="auto"/>
            <w:noWrap/>
            <w:vAlign w:val="center"/>
          </w:tcPr>
          <w:p w14:paraId="39519157">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律师执业“一件事”</w:t>
            </w:r>
          </w:p>
        </w:tc>
        <w:tc>
          <w:tcPr>
            <w:tcW w:w="6990" w:type="dxa"/>
            <w:tcBorders>
              <w:tl2br w:val="nil"/>
              <w:tr2bl w:val="nil"/>
            </w:tcBorders>
            <w:shd w:val="clear" w:color="auto" w:fill="auto"/>
            <w:noWrap w:val="0"/>
            <w:vAlign w:val="center"/>
          </w:tcPr>
          <w:p w14:paraId="12E01B1F">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kern w:val="2"/>
                <w:sz w:val="24"/>
                <w:szCs w:val="24"/>
                <w:highlight w:val="none"/>
                <w:u w:val="none"/>
                <w:lang w:val="en-US" w:eastAsia="zh-CN" w:bidi="ar-SA"/>
              </w:rPr>
            </w:pPr>
            <w:r>
              <w:rPr>
                <w:rFonts w:hint="eastAsia" w:ascii="仿宋_GB2312" w:hAnsi="宋体" w:eastAsia="仿宋_GB2312" w:cs="仿宋_GB2312"/>
                <w:i w:val="0"/>
                <w:iCs w:val="0"/>
                <w:color w:val="auto"/>
                <w:sz w:val="24"/>
                <w:szCs w:val="24"/>
                <w:highlight w:val="none"/>
                <w:u w:val="none"/>
                <w:lang w:val="en-US" w:eastAsia="zh-CN"/>
              </w:rPr>
              <w:t>律师执业、变更执业机构许可——专职律师执业</w:t>
            </w:r>
          </w:p>
        </w:tc>
        <w:tc>
          <w:tcPr>
            <w:tcW w:w="1598" w:type="dxa"/>
            <w:vMerge w:val="restart"/>
            <w:tcBorders>
              <w:tl2br w:val="nil"/>
              <w:tr2bl w:val="nil"/>
            </w:tcBorders>
            <w:shd w:val="clear" w:color="auto" w:fill="auto"/>
            <w:noWrap/>
            <w:vAlign w:val="center"/>
          </w:tcPr>
          <w:p w14:paraId="7A43AE1C">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政务服务办</w:t>
            </w:r>
          </w:p>
        </w:tc>
        <w:tc>
          <w:tcPr>
            <w:tcW w:w="2673" w:type="dxa"/>
            <w:tcBorders>
              <w:tl2br w:val="nil"/>
              <w:tr2bl w:val="nil"/>
            </w:tcBorders>
            <w:shd w:val="clear" w:color="auto" w:fill="auto"/>
            <w:noWrap/>
            <w:vAlign w:val="center"/>
          </w:tcPr>
          <w:p w14:paraId="2B46AB93">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kern w:val="2"/>
                <w:sz w:val="24"/>
                <w:szCs w:val="24"/>
                <w:highlight w:val="none"/>
                <w:u w:val="none"/>
                <w:lang w:val="en-US" w:eastAsia="zh-CN" w:bidi="ar-SA"/>
              </w:rPr>
            </w:pPr>
            <w:r>
              <w:rPr>
                <w:rFonts w:hint="eastAsia" w:ascii="仿宋_GB2312" w:hAnsi="宋体" w:eastAsia="仿宋_GB2312" w:cs="仿宋_GB2312"/>
                <w:i w:val="0"/>
                <w:iCs w:val="0"/>
                <w:color w:val="auto"/>
                <w:kern w:val="0"/>
                <w:sz w:val="24"/>
                <w:szCs w:val="24"/>
                <w:highlight w:val="none"/>
                <w:u w:val="none"/>
                <w:lang w:val="en-US" w:eastAsia="zh-CN" w:bidi="ar"/>
              </w:rPr>
              <w:t>政务服务办</w:t>
            </w:r>
          </w:p>
        </w:tc>
      </w:tr>
      <w:tr w14:paraId="2C3BE9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PrEx>
        <w:trPr>
          <w:trHeight w:val="482" w:hRule="atLeast"/>
          <w:jc w:val="center"/>
        </w:trPr>
        <w:tc>
          <w:tcPr>
            <w:tcW w:w="806" w:type="dxa"/>
            <w:vMerge w:val="continue"/>
            <w:tcBorders>
              <w:tl2br w:val="nil"/>
              <w:tr2bl w:val="nil"/>
            </w:tcBorders>
            <w:shd w:val="clear" w:color="auto" w:fill="auto"/>
            <w:noWrap/>
            <w:vAlign w:val="center"/>
          </w:tcPr>
          <w:p w14:paraId="7963BA3C">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sz w:val="24"/>
                <w:szCs w:val="24"/>
                <w:highlight w:val="none"/>
                <w:u w:val="none"/>
                <w:lang w:val="en-US" w:eastAsia="zh-CN"/>
              </w:rPr>
            </w:pPr>
          </w:p>
        </w:tc>
        <w:tc>
          <w:tcPr>
            <w:tcW w:w="3345" w:type="dxa"/>
            <w:vMerge w:val="continue"/>
            <w:tcBorders>
              <w:tl2br w:val="nil"/>
              <w:tr2bl w:val="nil"/>
            </w:tcBorders>
            <w:shd w:val="clear" w:color="auto" w:fill="auto"/>
            <w:noWrap/>
            <w:vAlign w:val="center"/>
          </w:tcPr>
          <w:p w14:paraId="3F5A6360">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sz w:val="24"/>
                <w:szCs w:val="24"/>
                <w:highlight w:val="none"/>
                <w:u w:val="none"/>
                <w:lang w:val="en-US" w:eastAsia="zh-CN"/>
              </w:rPr>
            </w:pPr>
          </w:p>
        </w:tc>
        <w:tc>
          <w:tcPr>
            <w:tcW w:w="6990" w:type="dxa"/>
            <w:tcBorders>
              <w:tl2br w:val="nil"/>
              <w:tr2bl w:val="nil"/>
            </w:tcBorders>
            <w:shd w:val="clear" w:color="auto" w:fill="auto"/>
            <w:noWrap w:val="0"/>
            <w:vAlign w:val="center"/>
          </w:tcPr>
          <w:p w14:paraId="2A2D9A56">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kern w:val="2"/>
                <w:sz w:val="24"/>
                <w:szCs w:val="24"/>
                <w:highlight w:val="none"/>
                <w:u w:val="none"/>
                <w:lang w:val="en-US" w:eastAsia="zh-CN" w:bidi="ar-SA"/>
              </w:rPr>
            </w:pPr>
            <w:r>
              <w:rPr>
                <w:rFonts w:hint="eastAsia" w:ascii="仿宋_GB2312" w:hAnsi="宋体" w:eastAsia="仿宋_GB2312" w:cs="仿宋_GB2312"/>
                <w:i w:val="0"/>
                <w:iCs w:val="0"/>
                <w:color w:val="auto"/>
                <w:sz w:val="24"/>
                <w:szCs w:val="24"/>
                <w:highlight w:val="none"/>
                <w:u w:val="none"/>
                <w:lang w:val="en-US" w:eastAsia="zh-CN"/>
              </w:rPr>
              <w:t>公司律师工作证颁发</w:t>
            </w:r>
          </w:p>
        </w:tc>
        <w:tc>
          <w:tcPr>
            <w:tcW w:w="1598" w:type="dxa"/>
            <w:vMerge w:val="continue"/>
            <w:tcBorders>
              <w:tl2br w:val="nil"/>
              <w:tr2bl w:val="nil"/>
            </w:tcBorders>
            <w:shd w:val="clear" w:color="auto" w:fill="auto"/>
            <w:noWrap/>
            <w:vAlign w:val="center"/>
          </w:tcPr>
          <w:p w14:paraId="4455539F">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sz w:val="24"/>
                <w:szCs w:val="24"/>
                <w:highlight w:val="none"/>
                <w:u w:val="none"/>
                <w:lang w:val="en-US" w:eastAsia="zh-CN"/>
              </w:rPr>
            </w:pPr>
          </w:p>
        </w:tc>
        <w:tc>
          <w:tcPr>
            <w:tcW w:w="2673" w:type="dxa"/>
            <w:tcBorders>
              <w:tl2br w:val="nil"/>
              <w:tr2bl w:val="nil"/>
            </w:tcBorders>
            <w:shd w:val="clear" w:color="auto" w:fill="auto"/>
            <w:noWrap/>
            <w:vAlign w:val="center"/>
          </w:tcPr>
          <w:p w14:paraId="21F09FE8">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司法局</w:t>
            </w:r>
          </w:p>
        </w:tc>
      </w:tr>
      <w:tr w14:paraId="6AACB0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PrEx>
        <w:trPr>
          <w:trHeight w:val="482" w:hRule="atLeast"/>
          <w:jc w:val="center"/>
        </w:trPr>
        <w:tc>
          <w:tcPr>
            <w:tcW w:w="806" w:type="dxa"/>
            <w:vMerge w:val="continue"/>
            <w:tcBorders>
              <w:tl2br w:val="nil"/>
              <w:tr2bl w:val="nil"/>
            </w:tcBorders>
            <w:shd w:val="clear" w:color="auto" w:fill="auto"/>
            <w:noWrap/>
            <w:vAlign w:val="center"/>
          </w:tcPr>
          <w:p w14:paraId="05C97DD9">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sz w:val="24"/>
                <w:szCs w:val="24"/>
                <w:highlight w:val="none"/>
                <w:u w:val="none"/>
                <w:lang w:val="en-US" w:eastAsia="zh-CN"/>
              </w:rPr>
            </w:pPr>
          </w:p>
        </w:tc>
        <w:tc>
          <w:tcPr>
            <w:tcW w:w="3345" w:type="dxa"/>
            <w:vMerge w:val="continue"/>
            <w:tcBorders>
              <w:tl2br w:val="nil"/>
              <w:tr2bl w:val="nil"/>
            </w:tcBorders>
            <w:shd w:val="clear" w:color="auto" w:fill="auto"/>
            <w:noWrap/>
            <w:vAlign w:val="center"/>
          </w:tcPr>
          <w:p w14:paraId="72B4D3C2">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sz w:val="24"/>
                <w:szCs w:val="24"/>
                <w:highlight w:val="none"/>
                <w:u w:val="none"/>
                <w:lang w:val="en-US" w:eastAsia="zh-CN"/>
              </w:rPr>
            </w:pPr>
          </w:p>
        </w:tc>
        <w:tc>
          <w:tcPr>
            <w:tcW w:w="6990" w:type="dxa"/>
            <w:tcBorders>
              <w:tl2br w:val="nil"/>
              <w:tr2bl w:val="nil"/>
            </w:tcBorders>
            <w:shd w:val="clear" w:color="auto" w:fill="auto"/>
            <w:noWrap w:val="0"/>
            <w:vAlign w:val="center"/>
          </w:tcPr>
          <w:p w14:paraId="02EE6A9C">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kern w:val="2"/>
                <w:sz w:val="24"/>
                <w:szCs w:val="24"/>
                <w:highlight w:val="none"/>
                <w:u w:val="none"/>
                <w:lang w:val="en-US" w:eastAsia="zh-CN" w:bidi="ar-SA"/>
              </w:rPr>
            </w:pPr>
            <w:r>
              <w:rPr>
                <w:rFonts w:hint="eastAsia" w:ascii="仿宋_GB2312" w:hAnsi="宋体" w:eastAsia="仿宋_GB2312" w:cs="仿宋_GB2312"/>
                <w:i w:val="0"/>
                <w:iCs w:val="0"/>
                <w:color w:val="auto"/>
                <w:sz w:val="24"/>
                <w:szCs w:val="24"/>
                <w:highlight w:val="none"/>
                <w:u w:val="none"/>
                <w:lang w:val="en-US" w:eastAsia="zh-CN"/>
              </w:rPr>
              <w:t>公职律师工作证颁发</w:t>
            </w:r>
          </w:p>
        </w:tc>
        <w:tc>
          <w:tcPr>
            <w:tcW w:w="1598" w:type="dxa"/>
            <w:vMerge w:val="continue"/>
            <w:tcBorders>
              <w:tl2br w:val="nil"/>
              <w:tr2bl w:val="nil"/>
            </w:tcBorders>
            <w:shd w:val="clear" w:color="auto" w:fill="auto"/>
            <w:noWrap/>
            <w:vAlign w:val="center"/>
          </w:tcPr>
          <w:p w14:paraId="2C427E97">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sz w:val="24"/>
                <w:szCs w:val="24"/>
                <w:highlight w:val="none"/>
                <w:u w:val="none"/>
                <w:lang w:val="en-US" w:eastAsia="zh-CN"/>
              </w:rPr>
            </w:pPr>
          </w:p>
        </w:tc>
        <w:tc>
          <w:tcPr>
            <w:tcW w:w="2673" w:type="dxa"/>
            <w:tcBorders>
              <w:tl2br w:val="nil"/>
              <w:tr2bl w:val="nil"/>
            </w:tcBorders>
            <w:shd w:val="clear" w:color="auto" w:fill="auto"/>
            <w:noWrap/>
            <w:vAlign w:val="center"/>
          </w:tcPr>
          <w:p w14:paraId="5EDBFC46">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司法局</w:t>
            </w:r>
          </w:p>
        </w:tc>
      </w:tr>
      <w:tr w14:paraId="695276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PrEx>
        <w:trPr>
          <w:trHeight w:val="482" w:hRule="atLeast"/>
          <w:jc w:val="center"/>
        </w:trPr>
        <w:tc>
          <w:tcPr>
            <w:tcW w:w="806" w:type="dxa"/>
            <w:vMerge w:val="restart"/>
            <w:tcBorders>
              <w:tl2br w:val="nil"/>
              <w:tr2bl w:val="nil"/>
            </w:tcBorders>
            <w:shd w:val="clear" w:color="auto" w:fill="auto"/>
            <w:noWrap/>
            <w:vAlign w:val="center"/>
          </w:tcPr>
          <w:p w14:paraId="67BA6926">
            <w:pPr>
              <w:keepNext w:val="0"/>
              <w:keepLines w:val="0"/>
              <w:pageBreakBefore w:val="0"/>
              <w:widowControl w:val="0"/>
              <w:shd w:val="clear"/>
              <w:kinsoku/>
              <w:overflowPunct/>
              <w:topLinePunct w:val="0"/>
              <w:bidi w:val="0"/>
              <w:adjustRightInd/>
              <w:snapToGrid/>
              <w:jc w:val="center"/>
              <w:rPr>
                <w:rFonts w:hint="eastAsia" w:ascii="仿宋_GB2312" w:hAnsi="宋体" w:eastAsia="仿宋_GB2312" w:cs="仿宋_GB2312"/>
                <w:i w:val="0"/>
                <w:iCs w:val="0"/>
                <w:color w:val="auto"/>
                <w:kern w:val="2"/>
                <w:sz w:val="24"/>
                <w:szCs w:val="24"/>
                <w:highlight w:val="none"/>
                <w:u w:val="none"/>
                <w:lang w:val="en-US" w:eastAsia="zh-CN" w:bidi="ar-SA"/>
              </w:rPr>
            </w:pPr>
            <w:r>
              <w:rPr>
                <w:rFonts w:hint="default" w:ascii="仿宋_GB2312" w:hAnsi="宋体" w:eastAsia="仿宋_GB2312" w:cs="仿宋_GB2312"/>
                <w:i w:val="0"/>
                <w:iCs w:val="0"/>
                <w:color w:val="auto"/>
                <w:sz w:val="24"/>
                <w:szCs w:val="24"/>
                <w:highlight w:val="none"/>
                <w:u w:val="none"/>
                <w:lang w:val="en-US" w:eastAsia="zh-CN"/>
              </w:rPr>
              <w:t>6</w:t>
            </w:r>
          </w:p>
        </w:tc>
        <w:tc>
          <w:tcPr>
            <w:tcW w:w="3345" w:type="dxa"/>
            <w:vMerge w:val="restart"/>
            <w:tcBorders>
              <w:tl2br w:val="nil"/>
              <w:tr2bl w:val="nil"/>
            </w:tcBorders>
            <w:shd w:val="clear" w:color="auto" w:fill="auto"/>
            <w:noWrap/>
            <w:vAlign w:val="center"/>
          </w:tcPr>
          <w:p w14:paraId="64710F08">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成品油批发仓储经营企业备案</w:t>
            </w:r>
          </w:p>
          <w:p w14:paraId="20FAB349">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“一件事”</w:t>
            </w:r>
          </w:p>
        </w:tc>
        <w:tc>
          <w:tcPr>
            <w:tcW w:w="6990" w:type="dxa"/>
            <w:tcBorders>
              <w:tl2br w:val="nil"/>
              <w:tr2bl w:val="nil"/>
            </w:tcBorders>
            <w:shd w:val="clear" w:color="auto" w:fill="auto"/>
            <w:noWrap w:val="0"/>
            <w:vAlign w:val="center"/>
          </w:tcPr>
          <w:p w14:paraId="75AB3EFD">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成品油批发仓储经营企业备案办理指导</w:t>
            </w:r>
          </w:p>
        </w:tc>
        <w:tc>
          <w:tcPr>
            <w:tcW w:w="1598" w:type="dxa"/>
            <w:vMerge w:val="restart"/>
            <w:tcBorders>
              <w:tl2br w:val="nil"/>
              <w:tr2bl w:val="nil"/>
            </w:tcBorders>
            <w:shd w:val="clear" w:color="auto" w:fill="auto"/>
            <w:noWrap/>
            <w:vAlign w:val="center"/>
          </w:tcPr>
          <w:p w14:paraId="77636BEF">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商务局</w:t>
            </w:r>
          </w:p>
        </w:tc>
        <w:tc>
          <w:tcPr>
            <w:tcW w:w="2673" w:type="dxa"/>
            <w:tcBorders>
              <w:tl2br w:val="nil"/>
              <w:tr2bl w:val="nil"/>
            </w:tcBorders>
            <w:shd w:val="clear" w:color="auto" w:fill="auto"/>
            <w:noWrap/>
            <w:vAlign w:val="center"/>
          </w:tcPr>
          <w:p w14:paraId="34E58234">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商务局</w:t>
            </w:r>
          </w:p>
        </w:tc>
      </w:tr>
      <w:tr w14:paraId="596C90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PrEx>
        <w:trPr>
          <w:trHeight w:val="482" w:hRule="atLeast"/>
          <w:jc w:val="center"/>
        </w:trPr>
        <w:tc>
          <w:tcPr>
            <w:tcW w:w="806" w:type="dxa"/>
            <w:vMerge w:val="continue"/>
            <w:tcBorders>
              <w:tl2br w:val="nil"/>
              <w:tr2bl w:val="nil"/>
            </w:tcBorders>
            <w:shd w:val="clear" w:color="auto" w:fill="auto"/>
            <w:noWrap/>
            <w:vAlign w:val="center"/>
          </w:tcPr>
          <w:p w14:paraId="039AB853">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sz w:val="24"/>
                <w:szCs w:val="24"/>
                <w:highlight w:val="none"/>
                <w:u w:val="none"/>
                <w:lang w:val="en-US" w:eastAsia="zh-CN"/>
              </w:rPr>
            </w:pPr>
          </w:p>
        </w:tc>
        <w:tc>
          <w:tcPr>
            <w:tcW w:w="3345" w:type="dxa"/>
            <w:vMerge w:val="continue"/>
            <w:tcBorders>
              <w:tl2br w:val="nil"/>
              <w:tr2bl w:val="nil"/>
            </w:tcBorders>
            <w:shd w:val="clear" w:color="auto" w:fill="auto"/>
            <w:noWrap/>
            <w:vAlign w:val="center"/>
          </w:tcPr>
          <w:p w14:paraId="3A74F8AA">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sz w:val="24"/>
                <w:szCs w:val="24"/>
                <w:highlight w:val="none"/>
                <w:u w:val="none"/>
                <w:lang w:val="en-US" w:eastAsia="zh-CN"/>
              </w:rPr>
            </w:pPr>
          </w:p>
        </w:tc>
        <w:tc>
          <w:tcPr>
            <w:tcW w:w="6990" w:type="dxa"/>
            <w:tcBorders>
              <w:tl2br w:val="nil"/>
              <w:tr2bl w:val="nil"/>
            </w:tcBorders>
            <w:shd w:val="clear" w:color="auto" w:fill="auto"/>
            <w:noWrap w:val="0"/>
            <w:vAlign w:val="center"/>
          </w:tcPr>
          <w:p w14:paraId="0B2A24EF">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市场主体登记（营业执照）（经营范围包含成品油批发或成品油仓储）</w:t>
            </w:r>
          </w:p>
        </w:tc>
        <w:tc>
          <w:tcPr>
            <w:tcW w:w="1598" w:type="dxa"/>
            <w:vMerge w:val="continue"/>
            <w:tcBorders>
              <w:tl2br w:val="nil"/>
              <w:tr2bl w:val="nil"/>
            </w:tcBorders>
            <w:shd w:val="clear" w:color="auto" w:fill="auto"/>
            <w:noWrap/>
            <w:vAlign w:val="center"/>
          </w:tcPr>
          <w:p w14:paraId="5F18023C">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sz w:val="24"/>
                <w:szCs w:val="24"/>
                <w:highlight w:val="none"/>
                <w:u w:val="none"/>
                <w:lang w:val="en-US" w:eastAsia="zh-CN"/>
              </w:rPr>
            </w:pPr>
          </w:p>
        </w:tc>
        <w:tc>
          <w:tcPr>
            <w:tcW w:w="2673" w:type="dxa"/>
            <w:tcBorders>
              <w:tl2br w:val="nil"/>
              <w:tr2bl w:val="nil"/>
            </w:tcBorders>
            <w:shd w:val="clear" w:color="auto" w:fill="auto"/>
            <w:noWrap/>
            <w:vAlign w:val="center"/>
          </w:tcPr>
          <w:p w14:paraId="09C6257F">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市场监管局</w:t>
            </w:r>
          </w:p>
        </w:tc>
      </w:tr>
      <w:tr w14:paraId="2092C2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PrEx>
        <w:trPr>
          <w:trHeight w:val="482" w:hRule="atLeast"/>
          <w:jc w:val="center"/>
        </w:trPr>
        <w:tc>
          <w:tcPr>
            <w:tcW w:w="806" w:type="dxa"/>
            <w:vMerge w:val="continue"/>
            <w:tcBorders>
              <w:tl2br w:val="nil"/>
              <w:tr2bl w:val="nil"/>
            </w:tcBorders>
            <w:shd w:val="clear" w:color="auto" w:fill="auto"/>
            <w:noWrap/>
            <w:vAlign w:val="center"/>
          </w:tcPr>
          <w:p w14:paraId="6EEB3DB5">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sz w:val="24"/>
                <w:szCs w:val="24"/>
                <w:highlight w:val="none"/>
                <w:u w:val="none"/>
                <w:lang w:val="en-US" w:eastAsia="zh-CN"/>
              </w:rPr>
            </w:pPr>
          </w:p>
        </w:tc>
        <w:tc>
          <w:tcPr>
            <w:tcW w:w="3345" w:type="dxa"/>
            <w:vMerge w:val="continue"/>
            <w:tcBorders>
              <w:tl2br w:val="nil"/>
              <w:tr2bl w:val="nil"/>
            </w:tcBorders>
            <w:shd w:val="clear" w:color="auto" w:fill="auto"/>
            <w:noWrap/>
            <w:vAlign w:val="center"/>
          </w:tcPr>
          <w:p w14:paraId="372CAF38">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sz w:val="24"/>
                <w:szCs w:val="24"/>
                <w:highlight w:val="none"/>
                <w:u w:val="none"/>
                <w:lang w:val="en-US" w:eastAsia="zh-CN"/>
              </w:rPr>
            </w:pPr>
          </w:p>
        </w:tc>
        <w:tc>
          <w:tcPr>
            <w:tcW w:w="6990" w:type="dxa"/>
            <w:tcBorders>
              <w:tl2br w:val="nil"/>
              <w:tr2bl w:val="nil"/>
            </w:tcBorders>
            <w:shd w:val="clear" w:color="auto" w:fill="auto"/>
            <w:noWrap w:val="0"/>
            <w:vAlign w:val="center"/>
          </w:tcPr>
          <w:p w14:paraId="1C7400B2">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危险化学品经营许可证（有储存）</w:t>
            </w:r>
          </w:p>
        </w:tc>
        <w:tc>
          <w:tcPr>
            <w:tcW w:w="1598" w:type="dxa"/>
            <w:vMerge w:val="continue"/>
            <w:tcBorders>
              <w:tl2br w:val="nil"/>
              <w:tr2bl w:val="nil"/>
            </w:tcBorders>
            <w:shd w:val="clear" w:color="auto" w:fill="auto"/>
            <w:noWrap/>
            <w:vAlign w:val="center"/>
          </w:tcPr>
          <w:p w14:paraId="1BE035FE">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sz w:val="24"/>
                <w:szCs w:val="24"/>
                <w:highlight w:val="none"/>
                <w:u w:val="none"/>
                <w:lang w:val="en-US" w:eastAsia="zh-CN"/>
              </w:rPr>
            </w:pPr>
          </w:p>
        </w:tc>
        <w:tc>
          <w:tcPr>
            <w:tcW w:w="2673" w:type="dxa"/>
            <w:tcBorders>
              <w:tl2br w:val="nil"/>
              <w:tr2bl w:val="nil"/>
            </w:tcBorders>
            <w:shd w:val="clear" w:color="auto" w:fill="auto"/>
            <w:noWrap/>
            <w:vAlign w:val="center"/>
          </w:tcPr>
          <w:p w14:paraId="5EC72AE2">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市应急管理局</w:t>
            </w:r>
          </w:p>
        </w:tc>
      </w:tr>
      <w:tr w14:paraId="58F5FD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PrEx>
        <w:trPr>
          <w:trHeight w:val="482" w:hRule="atLeast"/>
          <w:jc w:val="center"/>
        </w:trPr>
        <w:tc>
          <w:tcPr>
            <w:tcW w:w="806" w:type="dxa"/>
            <w:vMerge w:val="restart"/>
            <w:tcBorders>
              <w:tl2br w:val="nil"/>
              <w:tr2bl w:val="nil"/>
            </w:tcBorders>
            <w:shd w:val="clear" w:color="auto" w:fill="auto"/>
            <w:noWrap/>
            <w:vAlign w:val="center"/>
          </w:tcPr>
          <w:p w14:paraId="68106353">
            <w:pPr>
              <w:keepNext w:val="0"/>
              <w:keepLines w:val="0"/>
              <w:pageBreakBefore w:val="0"/>
              <w:widowControl w:val="0"/>
              <w:suppressLineNumbers w:val="0"/>
              <w:shd w:val="clear"/>
              <w:kinsoku/>
              <w:overflowPunct/>
              <w:topLinePunct w:val="0"/>
              <w:bidi w:val="0"/>
              <w:adjustRightInd/>
              <w:snapToGrid/>
              <w:jc w:val="center"/>
              <w:textAlignment w:val="center"/>
              <w:rPr>
                <w:rFonts w:hint="default" w:ascii="仿宋_GB2312" w:hAnsi="宋体" w:eastAsia="仿宋_GB2312" w:cs="仿宋_GB2312"/>
                <w:i w:val="0"/>
                <w:iCs w:val="0"/>
                <w:color w:val="auto"/>
                <w:sz w:val="24"/>
                <w:szCs w:val="24"/>
                <w:highlight w:val="none"/>
                <w:u w:val="none"/>
                <w:lang w:val="en-US" w:eastAsia="zh-CN"/>
              </w:rPr>
            </w:pPr>
            <w:r>
              <w:rPr>
                <w:rFonts w:hint="eastAsia" w:ascii="仿宋_GB2312" w:hAnsi="宋体" w:eastAsia="仿宋_GB2312" w:cs="仿宋_GB2312"/>
                <w:i w:val="0"/>
                <w:iCs w:val="0"/>
                <w:color w:val="auto"/>
                <w:sz w:val="24"/>
                <w:szCs w:val="24"/>
                <w:highlight w:val="none"/>
                <w:u w:val="none"/>
                <w:lang w:val="en-US" w:eastAsia="zh-CN"/>
              </w:rPr>
              <w:t>7</w:t>
            </w:r>
          </w:p>
        </w:tc>
        <w:tc>
          <w:tcPr>
            <w:tcW w:w="3345" w:type="dxa"/>
            <w:vMerge w:val="restart"/>
            <w:tcBorders>
              <w:tl2br w:val="nil"/>
              <w:tr2bl w:val="nil"/>
            </w:tcBorders>
            <w:shd w:val="clear" w:color="auto" w:fill="auto"/>
            <w:noWrap/>
            <w:vAlign w:val="center"/>
          </w:tcPr>
          <w:p w14:paraId="0DB2134C">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kern w:val="2"/>
                <w:sz w:val="24"/>
                <w:szCs w:val="24"/>
                <w:highlight w:val="none"/>
                <w:u w:val="none"/>
                <w:lang w:val="en-US" w:eastAsia="zh-CN" w:bidi="ar-SA"/>
              </w:rPr>
            </w:pPr>
            <w:r>
              <w:rPr>
                <w:rFonts w:hint="eastAsia" w:ascii="仿宋_GB2312" w:hAnsi="宋体" w:eastAsia="仿宋_GB2312" w:cs="仿宋_GB2312"/>
                <w:i w:val="0"/>
                <w:iCs w:val="0"/>
                <w:color w:val="auto"/>
                <w:sz w:val="24"/>
                <w:szCs w:val="24"/>
                <w:highlight w:val="none"/>
                <w:u w:val="none"/>
                <w:lang w:val="en-US" w:eastAsia="zh-CN"/>
              </w:rPr>
              <w:t>医护人员上岗执业“</w:t>
            </w:r>
            <w:r>
              <w:rPr>
                <w:rFonts w:hint="eastAsia" w:ascii="仿宋_GB2312" w:hAnsi="宋体" w:eastAsia="仿宋_GB2312" w:cs="仿宋_GB2312"/>
                <w:i w:val="0"/>
                <w:iCs w:val="0"/>
                <w:color w:val="auto"/>
                <w:sz w:val="24"/>
                <w:szCs w:val="24"/>
                <w:highlight w:val="none"/>
                <w:u w:val="none"/>
                <w:lang w:eastAsia="zh-CN"/>
              </w:rPr>
              <w:t>一件事</w:t>
            </w:r>
            <w:r>
              <w:rPr>
                <w:rFonts w:hint="eastAsia" w:ascii="仿宋_GB2312" w:hAnsi="宋体" w:eastAsia="仿宋_GB2312" w:cs="仿宋_GB2312"/>
                <w:i w:val="0"/>
                <w:iCs w:val="0"/>
                <w:color w:val="auto"/>
                <w:sz w:val="24"/>
                <w:szCs w:val="24"/>
                <w:highlight w:val="none"/>
                <w:u w:val="none"/>
                <w:lang w:val="en-US" w:eastAsia="zh-CN"/>
              </w:rPr>
              <w:t>”</w:t>
            </w:r>
          </w:p>
        </w:tc>
        <w:tc>
          <w:tcPr>
            <w:tcW w:w="6990" w:type="dxa"/>
            <w:tcBorders>
              <w:tl2br w:val="nil"/>
              <w:tr2bl w:val="nil"/>
            </w:tcBorders>
            <w:shd w:val="clear" w:color="auto" w:fill="auto"/>
            <w:noWrap w:val="0"/>
            <w:vAlign w:val="center"/>
          </w:tcPr>
          <w:p w14:paraId="1C920073">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kern w:val="2"/>
                <w:sz w:val="24"/>
                <w:szCs w:val="24"/>
                <w:highlight w:val="none"/>
                <w:u w:val="none"/>
                <w:lang w:val="en-US" w:eastAsia="zh-CN" w:bidi="ar-SA"/>
              </w:rPr>
            </w:pPr>
            <w:r>
              <w:rPr>
                <w:rFonts w:hint="eastAsia" w:ascii="仿宋_GB2312" w:hAnsi="宋体" w:eastAsia="仿宋_GB2312" w:cs="仿宋_GB2312"/>
                <w:i w:val="0"/>
                <w:iCs w:val="0"/>
                <w:color w:val="auto"/>
                <w:sz w:val="24"/>
                <w:szCs w:val="24"/>
                <w:highlight w:val="none"/>
                <w:u w:val="none"/>
                <w:lang w:val="en-US" w:eastAsia="zh-CN"/>
              </w:rPr>
              <w:t>医师执业注册许可</w:t>
            </w:r>
          </w:p>
        </w:tc>
        <w:tc>
          <w:tcPr>
            <w:tcW w:w="1598" w:type="dxa"/>
            <w:vMerge w:val="restart"/>
            <w:tcBorders>
              <w:tl2br w:val="nil"/>
              <w:tr2bl w:val="nil"/>
            </w:tcBorders>
            <w:shd w:val="clear" w:color="auto" w:fill="auto"/>
            <w:noWrap/>
            <w:vAlign w:val="center"/>
          </w:tcPr>
          <w:p w14:paraId="0347DA3E">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kern w:val="2"/>
                <w:sz w:val="24"/>
                <w:szCs w:val="24"/>
                <w:highlight w:val="none"/>
                <w:u w:val="none"/>
                <w:lang w:val="en-US" w:eastAsia="zh-CN" w:bidi="ar-SA"/>
              </w:rPr>
            </w:pPr>
            <w:r>
              <w:rPr>
                <w:rFonts w:hint="eastAsia" w:ascii="仿宋_GB2312" w:hAnsi="宋体" w:eastAsia="仿宋_GB2312" w:cs="仿宋_GB2312"/>
                <w:i w:val="0"/>
                <w:iCs w:val="0"/>
                <w:color w:val="auto"/>
                <w:sz w:val="24"/>
                <w:szCs w:val="24"/>
                <w:highlight w:val="none"/>
                <w:u w:val="none"/>
                <w:lang w:val="en-US" w:eastAsia="zh-CN"/>
              </w:rPr>
              <w:t>政务服务办</w:t>
            </w:r>
          </w:p>
        </w:tc>
        <w:tc>
          <w:tcPr>
            <w:tcW w:w="2673" w:type="dxa"/>
            <w:tcBorders>
              <w:tl2br w:val="nil"/>
              <w:tr2bl w:val="nil"/>
            </w:tcBorders>
            <w:shd w:val="clear" w:color="auto" w:fill="auto"/>
            <w:noWrap/>
            <w:vAlign w:val="center"/>
          </w:tcPr>
          <w:p w14:paraId="762CE433">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kern w:val="2"/>
                <w:sz w:val="24"/>
                <w:szCs w:val="24"/>
                <w:highlight w:val="none"/>
                <w:u w:val="none"/>
                <w:lang w:val="en-US" w:eastAsia="zh-CN" w:bidi="ar-SA"/>
              </w:rPr>
            </w:pPr>
            <w:r>
              <w:rPr>
                <w:rFonts w:hint="eastAsia" w:ascii="仿宋_GB2312" w:hAnsi="宋体" w:eastAsia="仿宋_GB2312" w:cs="仿宋_GB2312"/>
                <w:i w:val="0"/>
                <w:iCs w:val="0"/>
                <w:color w:val="auto"/>
                <w:sz w:val="24"/>
                <w:szCs w:val="24"/>
                <w:highlight w:val="none"/>
                <w:u w:val="none"/>
                <w:lang w:val="en-US" w:eastAsia="zh-CN"/>
              </w:rPr>
              <w:t>政务服务办</w:t>
            </w:r>
          </w:p>
        </w:tc>
      </w:tr>
      <w:tr w14:paraId="31A608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PrEx>
        <w:trPr>
          <w:trHeight w:val="482" w:hRule="atLeast"/>
          <w:jc w:val="center"/>
        </w:trPr>
        <w:tc>
          <w:tcPr>
            <w:tcW w:w="806" w:type="dxa"/>
            <w:vMerge w:val="continue"/>
            <w:tcBorders>
              <w:tl2br w:val="nil"/>
              <w:tr2bl w:val="nil"/>
            </w:tcBorders>
            <w:shd w:val="clear" w:color="auto" w:fill="auto"/>
            <w:noWrap/>
            <w:vAlign w:val="center"/>
          </w:tcPr>
          <w:p w14:paraId="5E3E2B42">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sz w:val="24"/>
                <w:szCs w:val="24"/>
                <w:highlight w:val="none"/>
                <w:u w:val="none"/>
                <w:lang w:val="en-US" w:eastAsia="zh-CN"/>
              </w:rPr>
            </w:pPr>
          </w:p>
        </w:tc>
        <w:tc>
          <w:tcPr>
            <w:tcW w:w="3345" w:type="dxa"/>
            <w:vMerge w:val="continue"/>
            <w:tcBorders>
              <w:tl2br w:val="nil"/>
              <w:tr2bl w:val="nil"/>
            </w:tcBorders>
            <w:shd w:val="clear" w:color="auto" w:fill="auto"/>
            <w:noWrap/>
            <w:vAlign w:val="center"/>
          </w:tcPr>
          <w:p w14:paraId="024B28D2">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sz w:val="24"/>
                <w:szCs w:val="24"/>
                <w:highlight w:val="none"/>
                <w:u w:val="none"/>
                <w:lang w:val="en-US" w:eastAsia="zh-CN"/>
              </w:rPr>
            </w:pPr>
          </w:p>
        </w:tc>
        <w:tc>
          <w:tcPr>
            <w:tcW w:w="6990" w:type="dxa"/>
            <w:tcBorders>
              <w:tl2br w:val="nil"/>
              <w:tr2bl w:val="nil"/>
            </w:tcBorders>
            <w:shd w:val="clear" w:color="auto" w:fill="auto"/>
            <w:noWrap w:val="0"/>
            <w:vAlign w:val="center"/>
          </w:tcPr>
          <w:p w14:paraId="7EC3476A">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kern w:val="2"/>
                <w:sz w:val="24"/>
                <w:szCs w:val="24"/>
                <w:highlight w:val="none"/>
                <w:u w:val="none"/>
                <w:lang w:val="en-US" w:eastAsia="zh-CN" w:bidi="ar-SA"/>
              </w:rPr>
            </w:pPr>
            <w:r>
              <w:rPr>
                <w:rFonts w:hint="eastAsia" w:ascii="仿宋_GB2312" w:hAnsi="宋体" w:eastAsia="仿宋_GB2312" w:cs="仿宋_GB2312"/>
                <w:i w:val="0"/>
                <w:iCs w:val="0"/>
                <w:color w:val="auto"/>
                <w:sz w:val="24"/>
                <w:szCs w:val="24"/>
                <w:highlight w:val="none"/>
                <w:u w:val="none"/>
                <w:lang w:val="en-US" w:eastAsia="zh-CN"/>
              </w:rPr>
              <w:t>乡村医生执业注册</w:t>
            </w:r>
          </w:p>
        </w:tc>
        <w:tc>
          <w:tcPr>
            <w:tcW w:w="1598" w:type="dxa"/>
            <w:vMerge w:val="continue"/>
            <w:tcBorders>
              <w:tl2br w:val="nil"/>
              <w:tr2bl w:val="nil"/>
            </w:tcBorders>
            <w:shd w:val="clear" w:color="auto" w:fill="auto"/>
            <w:noWrap/>
            <w:vAlign w:val="center"/>
          </w:tcPr>
          <w:p w14:paraId="413855E2">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sz w:val="24"/>
                <w:szCs w:val="24"/>
                <w:highlight w:val="none"/>
                <w:u w:val="none"/>
                <w:lang w:val="en-US" w:eastAsia="zh-CN"/>
              </w:rPr>
            </w:pPr>
          </w:p>
        </w:tc>
        <w:tc>
          <w:tcPr>
            <w:tcW w:w="2673" w:type="dxa"/>
            <w:tcBorders>
              <w:tl2br w:val="nil"/>
              <w:tr2bl w:val="nil"/>
            </w:tcBorders>
            <w:shd w:val="clear" w:color="auto" w:fill="auto"/>
            <w:noWrap/>
            <w:vAlign w:val="center"/>
          </w:tcPr>
          <w:p w14:paraId="14D103A7">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kern w:val="2"/>
                <w:sz w:val="24"/>
                <w:szCs w:val="24"/>
                <w:highlight w:val="none"/>
                <w:u w:val="none"/>
                <w:lang w:val="en-US" w:eastAsia="zh-CN" w:bidi="ar-SA"/>
              </w:rPr>
            </w:pPr>
            <w:r>
              <w:rPr>
                <w:rFonts w:hint="eastAsia" w:ascii="仿宋_GB2312" w:hAnsi="宋体" w:eastAsia="仿宋_GB2312" w:cs="仿宋_GB2312"/>
                <w:i w:val="0"/>
                <w:iCs w:val="0"/>
                <w:color w:val="auto"/>
                <w:sz w:val="24"/>
                <w:szCs w:val="24"/>
                <w:highlight w:val="none"/>
                <w:u w:val="none"/>
                <w:lang w:val="en-US" w:eastAsia="zh-CN"/>
              </w:rPr>
              <w:t>政务服务办</w:t>
            </w:r>
          </w:p>
        </w:tc>
      </w:tr>
      <w:tr w14:paraId="51A311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PrEx>
        <w:trPr>
          <w:trHeight w:val="482" w:hRule="atLeast"/>
          <w:jc w:val="center"/>
        </w:trPr>
        <w:tc>
          <w:tcPr>
            <w:tcW w:w="806" w:type="dxa"/>
            <w:vMerge w:val="continue"/>
            <w:tcBorders>
              <w:tl2br w:val="nil"/>
              <w:tr2bl w:val="nil"/>
            </w:tcBorders>
            <w:shd w:val="clear" w:color="auto" w:fill="auto"/>
            <w:noWrap/>
            <w:vAlign w:val="center"/>
          </w:tcPr>
          <w:p w14:paraId="4696D31B">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sz w:val="24"/>
                <w:szCs w:val="24"/>
                <w:highlight w:val="none"/>
                <w:u w:val="none"/>
                <w:lang w:val="en-US" w:eastAsia="zh-CN"/>
              </w:rPr>
            </w:pPr>
          </w:p>
        </w:tc>
        <w:tc>
          <w:tcPr>
            <w:tcW w:w="3345" w:type="dxa"/>
            <w:vMerge w:val="continue"/>
            <w:tcBorders>
              <w:tl2br w:val="nil"/>
              <w:tr2bl w:val="nil"/>
            </w:tcBorders>
            <w:shd w:val="clear" w:color="auto" w:fill="auto"/>
            <w:noWrap/>
            <w:vAlign w:val="center"/>
          </w:tcPr>
          <w:p w14:paraId="58C0C5D8">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sz w:val="24"/>
                <w:szCs w:val="24"/>
                <w:highlight w:val="none"/>
                <w:u w:val="none"/>
                <w:lang w:val="en-US" w:eastAsia="zh-CN"/>
              </w:rPr>
            </w:pPr>
          </w:p>
        </w:tc>
        <w:tc>
          <w:tcPr>
            <w:tcW w:w="6990" w:type="dxa"/>
            <w:tcBorders>
              <w:tl2br w:val="nil"/>
              <w:tr2bl w:val="nil"/>
            </w:tcBorders>
            <w:shd w:val="clear" w:color="auto" w:fill="auto"/>
            <w:noWrap w:val="0"/>
            <w:vAlign w:val="center"/>
          </w:tcPr>
          <w:p w14:paraId="282A56FC">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kern w:val="2"/>
                <w:sz w:val="24"/>
                <w:szCs w:val="24"/>
                <w:highlight w:val="none"/>
                <w:u w:val="none"/>
                <w:lang w:val="en-US" w:eastAsia="zh-CN" w:bidi="ar-SA"/>
              </w:rPr>
            </w:pPr>
            <w:r>
              <w:rPr>
                <w:rFonts w:hint="eastAsia" w:ascii="仿宋_GB2312" w:hAnsi="宋体" w:eastAsia="仿宋_GB2312" w:cs="仿宋_GB2312"/>
                <w:i w:val="0"/>
                <w:iCs w:val="0"/>
                <w:color w:val="auto"/>
                <w:sz w:val="24"/>
                <w:szCs w:val="24"/>
                <w:highlight w:val="none"/>
                <w:u w:val="none"/>
                <w:lang w:val="en-US" w:eastAsia="zh-CN"/>
              </w:rPr>
              <w:t>护士执业注册许可</w:t>
            </w:r>
          </w:p>
        </w:tc>
        <w:tc>
          <w:tcPr>
            <w:tcW w:w="1598" w:type="dxa"/>
            <w:vMerge w:val="continue"/>
            <w:tcBorders>
              <w:tl2br w:val="nil"/>
              <w:tr2bl w:val="nil"/>
            </w:tcBorders>
            <w:shd w:val="clear" w:color="auto" w:fill="auto"/>
            <w:noWrap/>
            <w:vAlign w:val="center"/>
          </w:tcPr>
          <w:p w14:paraId="3D820EAC">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sz w:val="24"/>
                <w:szCs w:val="24"/>
                <w:highlight w:val="none"/>
                <w:u w:val="none"/>
                <w:lang w:val="en-US" w:eastAsia="zh-CN"/>
              </w:rPr>
            </w:pPr>
          </w:p>
        </w:tc>
        <w:tc>
          <w:tcPr>
            <w:tcW w:w="2673" w:type="dxa"/>
            <w:tcBorders>
              <w:tl2br w:val="nil"/>
              <w:tr2bl w:val="nil"/>
            </w:tcBorders>
            <w:shd w:val="clear" w:color="auto" w:fill="auto"/>
            <w:noWrap/>
            <w:vAlign w:val="center"/>
          </w:tcPr>
          <w:p w14:paraId="505F69E5">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kern w:val="2"/>
                <w:sz w:val="24"/>
                <w:szCs w:val="24"/>
                <w:highlight w:val="none"/>
                <w:u w:val="none"/>
                <w:lang w:val="en-US" w:eastAsia="zh-CN" w:bidi="ar-SA"/>
              </w:rPr>
            </w:pPr>
            <w:r>
              <w:rPr>
                <w:rFonts w:hint="eastAsia" w:ascii="仿宋_GB2312" w:hAnsi="宋体" w:eastAsia="仿宋_GB2312" w:cs="仿宋_GB2312"/>
                <w:i w:val="0"/>
                <w:iCs w:val="0"/>
                <w:color w:val="auto"/>
                <w:sz w:val="24"/>
                <w:szCs w:val="24"/>
                <w:highlight w:val="none"/>
                <w:u w:val="none"/>
                <w:lang w:val="en-US" w:eastAsia="zh-CN"/>
              </w:rPr>
              <w:t>政务服务办</w:t>
            </w:r>
          </w:p>
        </w:tc>
      </w:tr>
      <w:tr w14:paraId="76DF0C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PrEx>
        <w:trPr>
          <w:trHeight w:val="510" w:hRule="atLeast"/>
          <w:jc w:val="center"/>
        </w:trPr>
        <w:tc>
          <w:tcPr>
            <w:tcW w:w="806" w:type="dxa"/>
            <w:vMerge w:val="restart"/>
            <w:shd w:val="clear" w:color="auto" w:fill="auto"/>
            <w:vAlign w:val="center"/>
          </w:tcPr>
          <w:p w14:paraId="503C6C3A">
            <w:pPr>
              <w:keepNext w:val="0"/>
              <w:keepLines w:val="0"/>
              <w:pageBreakBefore w:val="0"/>
              <w:widowControl w:val="0"/>
              <w:suppressLineNumbers w:val="0"/>
              <w:shd w:val="clear"/>
              <w:kinsoku/>
              <w:overflowPunct/>
              <w:topLinePunct w:val="0"/>
              <w:bidi w:val="0"/>
              <w:adjustRightInd/>
              <w:snapToGrid/>
              <w:spacing w:line="240" w:lineRule="auto"/>
              <w:jc w:val="center"/>
              <w:textAlignment w:val="center"/>
              <w:rPr>
                <w:rFonts w:hint="eastAsia" w:ascii="仿宋_GB2312" w:hAnsi="宋体" w:eastAsia="仿宋_GB2312" w:cs="仿宋_GB2312"/>
                <w:i w:val="0"/>
                <w:iCs w:val="0"/>
                <w:color w:val="auto"/>
                <w:kern w:val="2"/>
                <w:sz w:val="24"/>
                <w:szCs w:val="24"/>
                <w:highlight w:val="none"/>
                <w:u w:val="none"/>
                <w:lang w:val="en-US" w:eastAsia="zh-CN" w:bidi="ar-SA"/>
              </w:rPr>
            </w:pPr>
            <w:r>
              <w:rPr>
                <w:rFonts w:hint="eastAsia" w:ascii="仿宋_GB2312" w:hAnsi="宋体" w:eastAsia="仿宋_GB2312" w:cs="仿宋_GB2312"/>
                <w:i w:val="0"/>
                <w:iCs w:val="0"/>
                <w:color w:val="auto"/>
                <w:sz w:val="24"/>
                <w:szCs w:val="24"/>
                <w:highlight w:val="none"/>
                <w:u w:val="none"/>
                <w:lang w:val="en-US" w:eastAsia="zh-CN"/>
              </w:rPr>
              <w:t>8</w:t>
            </w:r>
          </w:p>
        </w:tc>
        <w:tc>
          <w:tcPr>
            <w:tcW w:w="3345" w:type="dxa"/>
            <w:vMerge w:val="restart"/>
            <w:shd w:val="clear" w:color="auto" w:fill="auto"/>
            <w:vAlign w:val="center"/>
          </w:tcPr>
          <w:p w14:paraId="0928D4CE">
            <w:pPr>
              <w:keepNext w:val="0"/>
              <w:keepLines w:val="0"/>
              <w:pageBreakBefore w:val="0"/>
              <w:widowControl w:val="0"/>
              <w:suppressLineNumbers w:val="0"/>
              <w:shd w:val="clear"/>
              <w:kinsoku/>
              <w:overflowPunct/>
              <w:topLinePunct w:val="0"/>
              <w:bidi w:val="0"/>
              <w:adjustRightInd/>
              <w:snapToGrid/>
              <w:spacing w:line="240" w:lineRule="auto"/>
              <w:jc w:val="center"/>
              <w:textAlignment w:val="center"/>
              <w:rPr>
                <w:rFonts w:hint="eastAsia" w:ascii="仿宋_GB2312" w:hAnsi="宋体" w:eastAsia="仿宋_GB2312" w:cs="仿宋_GB2312"/>
                <w:i w:val="0"/>
                <w:iCs w:val="0"/>
                <w:color w:val="auto"/>
                <w:kern w:val="2"/>
                <w:sz w:val="24"/>
                <w:szCs w:val="24"/>
                <w:highlight w:val="none"/>
                <w:u w:val="none"/>
                <w:lang w:val="en-US" w:eastAsia="zh-CN" w:bidi="ar-SA"/>
              </w:rPr>
            </w:pPr>
            <w:r>
              <w:rPr>
                <w:rFonts w:hint="eastAsia" w:ascii="仿宋_GB2312" w:hAnsi="宋体" w:eastAsia="仿宋_GB2312" w:cs="仿宋_GB2312"/>
                <w:i w:val="0"/>
                <w:iCs w:val="0"/>
                <w:color w:val="auto"/>
                <w:sz w:val="24"/>
                <w:szCs w:val="24"/>
                <w:highlight w:val="none"/>
                <w:u w:val="none"/>
                <w:lang w:val="en-US" w:eastAsia="zh-CN"/>
              </w:rPr>
              <w:t>开办刻章店“</w:t>
            </w:r>
            <w:r>
              <w:rPr>
                <w:rFonts w:hint="eastAsia" w:ascii="仿宋_GB2312" w:hAnsi="宋体" w:eastAsia="仿宋_GB2312" w:cs="仿宋_GB2312"/>
                <w:i w:val="0"/>
                <w:iCs w:val="0"/>
                <w:color w:val="auto"/>
                <w:sz w:val="24"/>
                <w:szCs w:val="24"/>
                <w:highlight w:val="none"/>
                <w:u w:val="none"/>
                <w:lang w:eastAsia="zh-CN"/>
              </w:rPr>
              <w:t>一件事</w:t>
            </w:r>
            <w:r>
              <w:rPr>
                <w:rFonts w:hint="eastAsia" w:ascii="仿宋_GB2312" w:hAnsi="宋体" w:eastAsia="仿宋_GB2312" w:cs="仿宋_GB2312"/>
                <w:i w:val="0"/>
                <w:iCs w:val="0"/>
                <w:color w:val="auto"/>
                <w:sz w:val="24"/>
                <w:szCs w:val="24"/>
                <w:highlight w:val="none"/>
                <w:u w:val="none"/>
                <w:lang w:val="en-US" w:eastAsia="zh-CN"/>
              </w:rPr>
              <w:t>”</w:t>
            </w:r>
          </w:p>
        </w:tc>
        <w:tc>
          <w:tcPr>
            <w:tcW w:w="6990" w:type="dxa"/>
            <w:shd w:val="clear" w:color="auto" w:fill="auto"/>
            <w:vAlign w:val="center"/>
          </w:tcPr>
          <w:p w14:paraId="422FC427">
            <w:pPr>
              <w:keepNext w:val="0"/>
              <w:keepLines w:val="0"/>
              <w:pageBreakBefore w:val="0"/>
              <w:widowControl w:val="0"/>
              <w:suppressLineNumbers w:val="0"/>
              <w:shd w:val="clear"/>
              <w:kinsoku/>
              <w:overflowPunct/>
              <w:topLinePunct w:val="0"/>
              <w:bidi w:val="0"/>
              <w:adjustRightInd/>
              <w:snapToGrid/>
              <w:spacing w:line="240" w:lineRule="auto"/>
              <w:jc w:val="center"/>
              <w:textAlignment w:val="center"/>
              <w:rPr>
                <w:rFonts w:hint="eastAsia" w:ascii="仿宋_GB2312" w:hAnsi="宋体" w:eastAsia="仿宋_GB2312" w:cs="仿宋_GB2312"/>
                <w:i w:val="0"/>
                <w:iCs w:val="0"/>
                <w:color w:val="auto"/>
                <w:kern w:val="2"/>
                <w:sz w:val="24"/>
                <w:szCs w:val="24"/>
                <w:highlight w:val="none"/>
                <w:u w:val="none"/>
                <w:lang w:val="en-US" w:eastAsia="zh-CN" w:bidi="ar-SA"/>
              </w:rPr>
            </w:pPr>
            <w:r>
              <w:rPr>
                <w:rFonts w:hint="eastAsia" w:ascii="仿宋_GB2312" w:hAnsi="宋体" w:eastAsia="仿宋_GB2312" w:cs="仿宋_GB2312"/>
                <w:i w:val="0"/>
                <w:iCs w:val="0"/>
                <w:color w:val="auto"/>
                <w:kern w:val="2"/>
                <w:sz w:val="24"/>
                <w:szCs w:val="24"/>
                <w:highlight w:val="none"/>
                <w:u w:val="none"/>
                <w:lang w:val="en-US" w:eastAsia="zh-CN" w:bidi="ar-SA"/>
              </w:rPr>
              <w:t>企业设立登记</w:t>
            </w:r>
          </w:p>
        </w:tc>
        <w:tc>
          <w:tcPr>
            <w:tcW w:w="1598" w:type="dxa"/>
            <w:vMerge w:val="restart"/>
            <w:shd w:val="clear" w:color="auto" w:fill="auto"/>
            <w:vAlign w:val="center"/>
          </w:tcPr>
          <w:p w14:paraId="2AC84779">
            <w:pPr>
              <w:keepNext w:val="0"/>
              <w:keepLines w:val="0"/>
              <w:pageBreakBefore w:val="0"/>
              <w:widowControl w:val="0"/>
              <w:suppressLineNumbers w:val="0"/>
              <w:shd w:val="clear"/>
              <w:kinsoku/>
              <w:overflowPunct/>
              <w:topLinePunct w:val="0"/>
              <w:bidi w:val="0"/>
              <w:adjustRightInd/>
              <w:snapToGrid/>
              <w:spacing w:line="240" w:lineRule="auto"/>
              <w:jc w:val="center"/>
              <w:textAlignment w:val="center"/>
              <w:rPr>
                <w:rFonts w:hint="default" w:ascii="仿宋_GB2312" w:hAnsi="宋体" w:eastAsia="仿宋_GB2312" w:cs="仿宋_GB2312"/>
                <w:i w:val="0"/>
                <w:iCs w:val="0"/>
                <w:color w:val="auto"/>
                <w:kern w:val="2"/>
                <w:sz w:val="24"/>
                <w:szCs w:val="24"/>
                <w:highlight w:val="none"/>
                <w:u w:val="none"/>
                <w:lang w:val="en-US" w:eastAsia="zh-CN" w:bidi="ar-SA"/>
              </w:rPr>
            </w:pPr>
            <w:r>
              <w:rPr>
                <w:rFonts w:hint="eastAsia" w:ascii="仿宋_GB2312" w:hAnsi="宋体" w:eastAsia="仿宋_GB2312" w:cs="仿宋_GB2312"/>
                <w:i w:val="0"/>
                <w:iCs w:val="0"/>
                <w:color w:val="auto"/>
                <w:kern w:val="2"/>
                <w:sz w:val="24"/>
                <w:szCs w:val="24"/>
                <w:highlight w:val="none"/>
                <w:u w:val="none"/>
                <w:lang w:val="en-US" w:eastAsia="zh-CN" w:bidi="ar-SA"/>
              </w:rPr>
              <w:t>公安分局</w:t>
            </w:r>
          </w:p>
        </w:tc>
        <w:tc>
          <w:tcPr>
            <w:tcW w:w="2673" w:type="dxa"/>
            <w:shd w:val="clear" w:color="auto" w:fill="auto"/>
            <w:vAlign w:val="center"/>
          </w:tcPr>
          <w:p w14:paraId="1E926268">
            <w:pPr>
              <w:keepNext w:val="0"/>
              <w:keepLines w:val="0"/>
              <w:pageBreakBefore w:val="0"/>
              <w:widowControl w:val="0"/>
              <w:suppressLineNumbers w:val="0"/>
              <w:shd w:val="clear"/>
              <w:kinsoku/>
              <w:overflowPunct/>
              <w:topLinePunct w:val="0"/>
              <w:bidi w:val="0"/>
              <w:adjustRightInd/>
              <w:snapToGrid/>
              <w:spacing w:line="240" w:lineRule="auto"/>
              <w:jc w:val="center"/>
              <w:textAlignment w:val="center"/>
              <w:rPr>
                <w:rFonts w:hint="default" w:ascii="仿宋_GB2312" w:hAnsi="宋体" w:eastAsia="仿宋_GB2312" w:cs="仿宋_GB2312"/>
                <w:i w:val="0"/>
                <w:iCs w:val="0"/>
                <w:color w:val="auto"/>
                <w:kern w:val="2"/>
                <w:sz w:val="24"/>
                <w:szCs w:val="24"/>
                <w:highlight w:val="none"/>
                <w:u w:val="none"/>
                <w:lang w:val="en-US" w:eastAsia="zh-CN" w:bidi="ar-SA"/>
              </w:rPr>
            </w:pPr>
            <w:r>
              <w:rPr>
                <w:rFonts w:hint="eastAsia" w:ascii="仿宋_GB2312" w:hAnsi="宋体" w:eastAsia="仿宋_GB2312" w:cs="仿宋_GB2312"/>
                <w:i w:val="0"/>
                <w:iCs w:val="0"/>
                <w:color w:val="auto"/>
                <w:kern w:val="2"/>
                <w:sz w:val="24"/>
                <w:szCs w:val="24"/>
                <w:highlight w:val="none"/>
                <w:u w:val="none"/>
                <w:lang w:val="en-US" w:eastAsia="zh-CN" w:bidi="ar-SA"/>
              </w:rPr>
              <w:t>市场监管局</w:t>
            </w:r>
          </w:p>
        </w:tc>
      </w:tr>
      <w:tr w14:paraId="17C718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PrEx>
        <w:trPr>
          <w:trHeight w:val="510" w:hRule="atLeast"/>
          <w:jc w:val="center"/>
        </w:trPr>
        <w:tc>
          <w:tcPr>
            <w:tcW w:w="806" w:type="dxa"/>
            <w:vMerge w:val="continue"/>
            <w:shd w:val="clear" w:color="auto" w:fill="auto"/>
          </w:tcPr>
          <w:p w14:paraId="7D90E53D">
            <w:pPr>
              <w:keepNext w:val="0"/>
              <w:keepLines w:val="0"/>
              <w:pageBreakBefore w:val="0"/>
              <w:widowControl w:val="0"/>
              <w:shd w:val="clear"/>
              <w:kinsoku/>
              <w:overflowPunct/>
              <w:topLinePunct w:val="0"/>
              <w:bidi w:val="0"/>
              <w:adjustRightInd/>
              <w:snapToGrid/>
              <w:jc w:val="center"/>
              <w:rPr>
                <w:rFonts w:hint="eastAsia" w:ascii="仿宋_GB2312" w:hAnsi="宋体" w:eastAsia="仿宋_GB2312" w:cs="仿宋_GB2312"/>
                <w:i w:val="0"/>
                <w:iCs w:val="0"/>
                <w:color w:val="auto"/>
                <w:sz w:val="24"/>
                <w:szCs w:val="24"/>
                <w:highlight w:val="none"/>
                <w:u w:val="none"/>
              </w:rPr>
            </w:pPr>
          </w:p>
        </w:tc>
        <w:tc>
          <w:tcPr>
            <w:tcW w:w="3345" w:type="dxa"/>
            <w:vMerge w:val="continue"/>
            <w:shd w:val="clear" w:color="auto" w:fill="auto"/>
          </w:tcPr>
          <w:p w14:paraId="4B681C8C">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p>
        </w:tc>
        <w:tc>
          <w:tcPr>
            <w:tcW w:w="6990" w:type="dxa"/>
            <w:shd w:val="clear" w:color="auto" w:fill="auto"/>
            <w:vAlign w:val="center"/>
          </w:tcPr>
          <w:p w14:paraId="6F99FFD1">
            <w:pPr>
              <w:keepNext w:val="0"/>
              <w:keepLines w:val="0"/>
              <w:pageBreakBefore w:val="0"/>
              <w:widowControl w:val="0"/>
              <w:suppressLineNumbers w:val="0"/>
              <w:shd w:val="clear"/>
              <w:kinsoku/>
              <w:overflowPunct/>
              <w:topLinePunct w:val="0"/>
              <w:bidi w:val="0"/>
              <w:adjustRightInd/>
              <w:snapToGrid/>
              <w:spacing w:line="240" w:lineRule="auto"/>
              <w:jc w:val="center"/>
              <w:textAlignment w:val="center"/>
              <w:rPr>
                <w:rFonts w:hint="eastAsia" w:ascii="仿宋_GB2312" w:hAnsi="宋体" w:eastAsia="仿宋_GB2312" w:cs="仿宋_GB2312"/>
                <w:i w:val="0"/>
                <w:iCs w:val="0"/>
                <w:color w:val="auto"/>
                <w:kern w:val="2"/>
                <w:sz w:val="24"/>
                <w:szCs w:val="24"/>
                <w:highlight w:val="none"/>
                <w:u w:val="none"/>
                <w:lang w:val="en-US" w:eastAsia="zh-CN" w:bidi="ar-SA"/>
              </w:rPr>
            </w:pPr>
            <w:r>
              <w:rPr>
                <w:rFonts w:hint="default" w:ascii="仿宋_GB2312" w:hAnsi="宋体" w:eastAsia="仿宋_GB2312" w:cs="仿宋_GB2312"/>
                <w:i w:val="0"/>
                <w:iCs w:val="0"/>
                <w:color w:val="auto"/>
                <w:kern w:val="2"/>
                <w:sz w:val="24"/>
                <w:szCs w:val="24"/>
                <w:highlight w:val="none"/>
                <w:u w:val="none"/>
                <w:lang w:val="en-US" w:eastAsia="zh-CN" w:bidi="ar-SA"/>
              </w:rPr>
              <w:t>公章刻制业备案</w:t>
            </w:r>
          </w:p>
        </w:tc>
        <w:tc>
          <w:tcPr>
            <w:tcW w:w="1598" w:type="dxa"/>
            <w:vMerge w:val="continue"/>
            <w:shd w:val="clear" w:color="auto" w:fill="auto"/>
          </w:tcPr>
          <w:p w14:paraId="35020D9F">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p>
        </w:tc>
        <w:tc>
          <w:tcPr>
            <w:tcW w:w="2673" w:type="dxa"/>
            <w:shd w:val="clear" w:color="auto" w:fill="auto"/>
            <w:vAlign w:val="center"/>
          </w:tcPr>
          <w:p w14:paraId="04B3D56A">
            <w:pPr>
              <w:keepNext w:val="0"/>
              <w:keepLines w:val="0"/>
              <w:pageBreakBefore w:val="0"/>
              <w:widowControl w:val="0"/>
              <w:suppressLineNumbers w:val="0"/>
              <w:shd w:val="clear"/>
              <w:kinsoku/>
              <w:overflowPunct/>
              <w:topLinePunct w:val="0"/>
              <w:bidi w:val="0"/>
              <w:adjustRightInd/>
              <w:snapToGrid/>
              <w:spacing w:line="240" w:lineRule="auto"/>
              <w:jc w:val="center"/>
              <w:textAlignment w:val="center"/>
              <w:rPr>
                <w:rFonts w:hint="eastAsia" w:ascii="仿宋_GB2312" w:hAnsi="宋体" w:eastAsia="仿宋_GB2312" w:cs="仿宋_GB2312"/>
                <w:i w:val="0"/>
                <w:iCs w:val="0"/>
                <w:color w:val="auto"/>
                <w:kern w:val="2"/>
                <w:sz w:val="24"/>
                <w:szCs w:val="24"/>
                <w:highlight w:val="none"/>
                <w:u w:val="none"/>
                <w:lang w:val="en-US" w:eastAsia="zh-CN" w:bidi="ar-SA"/>
              </w:rPr>
            </w:pPr>
            <w:r>
              <w:rPr>
                <w:rFonts w:hint="eastAsia" w:ascii="仿宋_GB2312" w:hAnsi="宋体" w:eastAsia="仿宋_GB2312" w:cs="仿宋_GB2312"/>
                <w:i w:val="0"/>
                <w:iCs w:val="0"/>
                <w:color w:val="auto"/>
                <w:kern w:val="2"/>
                <w:sz w:val="24"/>
                <w:szCs w:val="24"/>
                <w:highlight w:val="none"/>
                <w:u w:val="none"/>
                <w:lang w:val="en-US" w:eastAsia="zh-CN" w:bidi="ar-SA"/>
              </w:rPr>
              <w:t>公安分局</w:t>
            </w:r>
          </w:p>
        </w:tc>
      </w:tr>
      <w:tr w14:paraId="1EE0A1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PrEx>
        <w:trPr>
          <w:trHeight w:val="510" w:hRule="atLeast"/>
          <w:jc w:val="center"/>
        </w:trPr>
        <w:tc>
          <w:tcPr>
            <w:tcW w:w="806" w:type="dxa"/>
            <w:vMerge w:val="restart"/>
            <w:shd w:val="clear" w:color="auto" w:fill="auto"/>
            <w:vAlign w:val="center"/>
          </w:tcPr>
          <w:p w14:paraId="7DE1D44D">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kern w:val="2"/>
                <w:sz w:val="24"/>
                <w:szCs w:val="24"/>
                <w:highlight w:val="none"/>
                <w:u w:val="none"/>
                <w:lang w:val="en-US" w:eastAsia="zh-CN" w:bidi="ar-SA"/>
              </w:rPr>
            </w:pPr>
            <w:r>
              <w:rPr>
                <w:rFonts w:hint="eastAsia" w:ascii="仿宋_GB2312" w:hAnsi="宋体" w:eastAsia="仿宋_GB2312" w:cs="仿宋_GB2312"/>
                <w:i w:val="0"/>
                <w:iCs w:val="0"/>
                <w:color w:val="auto"/>
                <w:sz w:val="24"/>
                <w:szCs w:val="24"/>
                <w:highlight w:val="none"/>
                <w:u w:val="none"/>
                <w:lang w:val="en-US" w:eastAsia="zh-CN"/>
              </w:rPr>
              <w:t>9</w:t>
            </w:r>
          </w:p>
        </w:tc>
        <w:tc>
          <w:tcPr>
            <w:tcW w:w="3345" w:type="dxa"/>
            <w:vMerge w:val="restart"/>
            <w:shd w:val="clear" w:color="auto" w:fill="auto"/>
            <w:vAlign w:val="center"/>
          </w:tcPr>
          <w:p w14:paraId="2829FC8A">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kern w:val="2"/>
                <w:sz w:val="24"/>
                <w:szCs w:val="24"/>
                <w:highlight w:val="none"/>
                <w:u w:val="none"/>
                <w:lang w:val="en-US" w:eastAsia="zh-CN" w:bidi="ar-SA"/>
              </w:rPr>
            </w:pPr>
            <w:r>
              <w:rPr>
                <w:rFonts w:hint="eastAsia" w:ascii="仿宋_GB2312" w:hAnsi="宋体" w:eastAsia="仿宋_GB2312" w:cs="仿宋_GB2312"/>
                <w:i w:val="0"/>
                <w:iCs w:val="0"/>
                <w:color w:val="auto"/>
                <w:sz w:val="24"/>
                <w:szCs w:val="24"/>
                <w:highlight w:val="none"/>
                <w:u w:val="none"/>
                <w:lang w:val="en-US" w:eastAsia="zh-CN"/>
              </w:rPr>
              <w:t>开办超市、便利店“一件事”</w:t>
            </w:r>
          </w:p>
        </w:tc>
        <w:tc>
          <w:tcPr>
            <w:tcW w:w="6990" w:type="dxa"/>
            <w:shd w:val="clear" w:color="auto" w:fill="auto"/>
            <w:vAlign w:val="center"/>
          </w:tcPr>
          <w:p w14:paraId="0E70356A">
            <w:pPr>
              <w:keepNext w:val="0"/>
              <w:keepLines w:val="0"/>
              <w:pageBreakBefore w:val="0"/>
              <w:widowControl w:val="0"/>
              <w:suppressLineNumbers w:val="0"/>
              <w:shd w:val="clear"/>
              <w:kinsoku/>
              <w:overflowPunct/>
              <w:topLinePunct w:val="0"/>
              <w:bidi w:val="0"/>
              <w:adjustRightInd/>
              <w:snapToGrid/>
              <w:spacing w:line="240" w:lineRule="auto"/>
              <w:jc w:val="center"/>
              <w:textAlignment w:val="center"/>
              <w:rPr>
                <w:rFonts w:hint="eastAsia" w:ascii="仿宋_GB2312" w:hAnsi="宋体" w:eastAsia="仿宋_GB2312" w:cs="仿宋_GB2312"/>
                <w:i w:val="0"/>
                <w:iCs w:val="0"/>
                <w:color w:val="auto"/>
                <w:kern w:val="2"/>
                <w:sz w:val="24"/>
                <w:szCs w:val="24"/>
                <w:highlight w:val="none"/>
                <w:u w:val="none"/>
                <w:lang w:val="en-US" w:eastAsia="zh-CN" w:bidi="ar-SA"/>
              </w:rPr>
            </w:pPr>
            <w:r>
              <w:rPr>
                <w:rFonts w:hint="eastAsia" w:ascii="仿宋_GB2312" w:hAnsi="宋体" w:eastAsia="仿宋_GB2312" w:cs="仿宋_GB2312"/>
                <w:i w:val="0"/>
                <w:iCs w:val="0"/>
                <w:color w:val="auto"/>
                <w:kern w:val="2"/>
                <w:sz w:val="24"/>
                <w:szCs w:val="24"/>
                <w:highlight w:val="none"/>
                <w:u w:val="none"/>
                <w:lang w:val="en-US" w:eastAsia="zh-CN" w:bidi="ar-SA"/>
              </w:rPr>
              <w:t>有限责任公司设立</w:t>
            </w:r>
          </w:p>
        </w:tc>
        <w:tc>
          <w:tcPr>
            <w:tcW w:w="1598" w:type="dxa"/>
            <w:vMerge w:val="restart"/>
            <w:shd w:val="clear" w:color="auto" w:fill="auto"/>
            <w:vAlign w:val="center"/>
          </w:tcPr>
          <w:p w14:paraId="795290EF">
            <w:pPr>
              <w:keepNext w:val="0"/>
              <w:keepLines w:val="0"/>
              <w:pageBreakBefore w:val="0"/>
              <w:widowControl w:val="0"/>
              <w:suppressLineNumbers w:val="0"/>
              <w:shd w:val="clear"/>
              <w:kinsoku/>
              <w:overflowPunct/>
              <w:topLinePunct w:val="0"/>
              <w:bidi w:val="0"/>
              <w:adjustRightInd/>
              <w:snapToGrid/>
              <w:jc w:val="center"/>
              <w:textAlignment w:val="center"/>
              <w:rPr>
                <w:rFonts w:hint="default" w:ascii="仿宋_GB2312" w:hAnsi="宋体" w:eastAsia="仿宋_GB2312" w:cs="仿宋_GB2312"/>
                <w:i w:val="0"/>
                <w:iCs w:val="0"/>
                <w:color w:val="auto"/>
                <w:kern w:val="2"/>
                <w:sz w:val="24"/>
                <w:szCs w:val="24"/>
                <w:highlight w:val="none"/>
                <w:u w:val="none"/>
                <w:lang w:val="en-US" w:eastAsia="zh-CN" w:bidi="ar-SA"/>
              </w:rPr>
            </w:pPr>
            <w:r>
              <w:rPr>
                <w:rFonts w:hint="eastAsia" w:ascii="仿宋_GB2312" w:hAnsi="宋体" w:eastAsia="仿宋_GB2312" w:cs="仿宋_GB2312"/>
                <w:i w:val="0"/>
                <w:iCs w:val="0"/>
                <w:color w:val="auto"/>
                <w:kern w:val="2"/>
                <w:sz w:val="24"/>
                <w:szCs w:val="24"/>
                <w:highlight w:val="none"/>
                <w:u w:val="none"/>
                <w:lang w:val="en-US" w:eastAsia="zh-CN" w:bidi="ar-SA"/>
              </w:rPr>
              <w:t>市场监管局</w:t>
            </w:r>
          </w:p>
        </w:tc>
        <w:tc>
          <w:tcPr>
            <w:tcW w:w="2673" w:type="dxa"/>
            <w:shd w:val="clear" w:color="auto" w:fill="auto"/>
            <w:vAlign w:val="center"/>
          </w:tcPr>
          <w:p w14:paraId="43524AD0">
            <w:pPr>
              <w:keepNext w:val="0"/>
              <w:keepLines w:val="0"/>
              <w:pageBreakBefore w:val="0"/>
              <w:widowControl w:val="0"/>
              <w:suppressLineNumbers w:val="0"/>
              <w:shd w:val="clear"/>
              <w:kinsoku/>
              <w:overflowPunct/>
              <w:topLinePunct w:val="0"/>
              <w:bidi w:val="0"/>
              <w:adjustRightInd/>
              <w:snapToGrid/>
              <w:spacing w:line="240" w:lineRule="auto"/>
              <w:jc w:val="center"/>
              <w:textAlignment w:val="center"/>
              <w:rPr>
                <w:rFonts w:hint="eastAsia" w:ascii="仿宋_GB2312" w:hAnsi="宋体" w:eastAsia="仿宋_GB2312" w:cs="仿宋_GB2312"/>
                <w:i w:val="0"/>
                <w:iCs w:val="0"/>
                <w:color w:val="auto"/>
                <w:kern w:val="2"/>
                <w:sz w:val="24"/>
                <w:szCs w:val="24"/>
                <w:highlight w:val="none"/>
                <w:u w:val="none"/>
                <w:lang w:val="en-US" w:eastAsia="zh-CN" w:bidi="ar-SA"/>
              </w:rPr>
            </w:pPr>
            <w:r>
              <w:rPr>
                <w:rFonts w:hint="eastAsia" w:ascii="仿宋_GB2312" w:hAnsi="宋体" w:eastAsia="仿宋_GB2312" w:cs="仿宋_GB2312"/>
                <w:i w:val="0"/>
                <w:iCs w:val="0"/>
                <w:color w:val="auto"/>
                <w:kern w:val="2"/>
                <w:sz w:val="24"/>
                <w:szCs w:val="24"/>
                <w:highlight w:val="none"/>
                <w:u w:val="none"/>
                <w:lang w:val="en-US" w:eastAsia="zh-CN" w:bidi="ar-SA"/>
              </w:rPr>
              <w:t>市场监管局</w:t>
            </w:r>
          </w:p>
        </w:tc>
      </w:tr>
      <w:tr w14:paraId="55C8BC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PrEx>
        <w:trPr>
          <w:trHeight w:val="510" w:hRule="atLeast"/>
          <w:jc w:val="center"/>
        </w:trPr>
        <w:tc>
          <w:tcPr>
            <w:tcW w:w="806" w:type="dxa"/>
            <w:vMerge w:val="continue"/>
            <w:shd w:val="clear" w:color="auto" w:fill="auto"/>
          </w:tcPr>
          <w:p w14:paraId="71319F7B">
            <w:pPr>
              <w:keepNext w:val="0"/>
              <w:keepLines w:val="0"/>
              <w:pageBreakBefore w:val="0"/>
              <w:widowControl w:val="0"/>
              <w:shd w:val="clear"/>
              <w:kinsoku/>
              <w:overflowPunct/>
              <w:topLinePunct w:val="0"/>
              <w:bidi w:val="0"/>
              <w:adjustRightInd/>
              <w:snapToGrid/>
              <w:jc w:val="center"/>
              <w:rPr>
                <w:rFonts w:hint="eastAsia" w:ascii="仿宋_GB2312" w:hAnsi="宋体" w:eastAsia="仿宋_GB2312" w:cs="仿宋_GB2312"/>
                <w:i w:val="0"/>
                <w:iCs w:val="0"/>
                <w:color w:val="auto"/>
                <w:sz w:val="24"/>
                <w:szCs w:val="24"/>
                <w:highlight w:val="none"/>
                <w:u w:val="none"/>
              </w:rPr>
            </w:pPr>
          </w:p>
        </w:tc>
        <w:tc>
          <w:tcPr>
            <w:tcW w:w="3345" w:type="dxa"/>
            <w:vMerge w:val="continue"/>
            <w:shd w:val="clear" w:color="auto" w:fill="auto"/>
          </w:tcPr>
          <w:p w14:paraId="359C1809">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p>
        </w:tc>
        <w:tc>
          <w:tcPr>
            <w:tcW w:w="6990" w:type="dxa"/>
            <w:shd w:val="clear" w:color="auto" w:fill="auto"/>
            <w:vAlign w:val="center"/>
          </w:tcPr>
          <w:p w14:paraId="43BF23F4">
            <w:pPr>
              <w:keepNext w:val="0"/>
              <w:keepLines w:val="0"/>
              <w:pageBreakBefore w:val="0"/>
              <w:widowControl w:val="0"/>
              <w:suppressLineNumbers w:val="0"/>
              <w:shd w:val="clear"/>
              <w:kinsoku/>
              <w:overflowPunct/>
              <w:topLinePunct w:val="0"/>
              <w:bidi w:val="0"/>
              <w:adjustRightInd/>
              <w:snapToGrid/>
              <w:spacing w:line="240" w:lineRule="auto"/>
              <w:jc w:val="center"/>
              <w:textAlignment w:val="center"/>
              <w:rPr>
                <w:rFonts w:hint="eastAsia" w:ascii="仿宋_GB2312" w:hAnsi="宋体" w:eastAsia="仿宋_GB2312" w:cs="仿宋_GB2312"/>
                <w:i w:val="0"/>
                <w:iCs w:val="0"/>
                <w:color w:val="auto"/>
                <w:kern w:val="2"/>
                <w:sz w:val="24"/>
                <w:szCs w:val="24"/>
                <w:highlight w:val="none"/>
                <w:u w:val="none"/>
                <w:lang w:val="en-US" w:eastAsia="zh-CN" w:bidi="ar-SA"/>
              </w:rPr>
            </w:pPr>
            <w:r>
              <w:rPr>
                <w:rFonts w:hint="eastAsia" w:ascii="仿宋_GB2312" w:hAnsi="宋体" w:eastAsia="仿宋_GB2312" w:cs="仿宋_GB2312"/>
                <w:i w:val="0"/>
                <w:iCs w:val="0"/>
                <w:color w:val="auto"/>
                <w:kern w:val="2"/>
                <w:sz w:val="24"/>
                <w:szCs w:val="24"/>
                <w:highlight w:val="none"/>
                <w:u w:val="none"/>
                <w:lang w:val="en-US" w:eastAsia="zh-CN" w:bidi="ar-SA"/>
              </w:rPr>
              <w:t>个体工商户登记注册</w:t>
            </w:r>
          </w:p>
        </w:tc>
        <w:tc>
          <w:tcPr>
            <w:tcW w:w="1598" w:type="dxa"/>
            <w:vMerge w:val="continue"/>
            <w:shd w:val="clear" w:color="auto" w:fill="auto"/>
          </w:tcPr>
          <w:p w14:paraId="719C1913">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p>
        </w:tc>
        <w:tc>
          <w:tcPr>
            <w:tcW w:w="2673" w:type="dxa"/>
            <w:shd w:val="clear" w:color="auto" w:fill="auto"/>
            <w:vAlign w:val="center"/>
          </w:tcPr>
          <w:p w14:paraId="0910B54F">
            <w:pPr>
              <w:keepNext w:val="0"/>
              <w:keepLines w:val="0"/>
              <w:pageBreakBefore w:val="0"/>
              <w:widowControl w:val="0"/>
              <w:suppressLineNumbers w:val="0"/>
              <w:shd w:val="clear"/>
              <w:kinsoku/>
              <w:overflowPunct/>
              <w:topLinePunct w:val="0"/>
              <w:bidi w:val="0"/>
              <w:adjustRightInd/>
              <w:snapToGrid/>
              <w:spacing w:line="240" w:lineRule="auto"/>
              <w:jc w:val="center"/>
              <w:textAlignment w:val="center"/>
              <w:rPr>
                <w:rFonts w:hint="eastAsia" w:ascii="仿宋_GB2312" w:hAnsi="宋体" w:eastAsia="仿宋_GB2312" w:cs="仿宋_GB2312"/>
                <w:i w:val="0"/>
                <w:iCs w:val="0"/>
                <w:color w:val="auto"/>
                <w:kern w:val="2"/>
                <w:sz w:val="24"/>
                <w:szCs w:val="24"/>
                <w:highlight w:val="none"/>
                <w:u w:val="none"/>
                <w:lang w:val="en-US" w:eastAsia="zh-CN" w:bidi="ar-SA"/>
              </w:rPr>
            </w:pPr>
            <w:r>
              <w:rPr>
                <w:rFonts w:hint="eastAsia" w:ascii="仿宋_GB2312" w:hAnsi="宋体" w:eastAsia="仿宋_GB2312" w:cs="仿宋_GB2312"/>
                <w:i w:val="0"/>
                <w:iCs w:val="0"/>
                <w:color w:val="auto"/>
                <w:kern w:val="2"/>
                <w:sz w:val="24"/>
                <w:szCs w:val="24"/>
                <w:highlight w:val="none"/>
                <w:u w:val="none"/>
                <w:lang w:val="en-US" w:eastAsia="zh-CN" w:bidi="ar-SA"/>
              </w:rPr>
              <w:t>市场监管局</w:t>
            </w:r>
          </w:p>
        </w:tc>
      </w:tr>
      <w:tr w14:paraId="4EE0B9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PrEx>
        <w:trPr>
          <w:trHeight w:val="510" w:hRule="atLeast"/>
          <w:jc w:val="center"/>
        </w:trPr>
        <w:tc>
          <w:tcPr>
            <w:tcW w:w="806" w:type="dxa"/>
            <w:vMerge w:val="continue"/>
            <w:shd w:val="clear" w:color="auto" w:fill="auto"/>
          </w:tcPr>
          <w:p w14:paraId="2ECC58F4">
            <w:pPr>
              <w:keepNext w:val="0"/>
              <w:keepLines w:val="0"/>
              <w:pageBreakBefore w:val="0"/>
              <w:widowControl w:val="0"/>
              <w:shd w:val="clear"/>
              <w:kinsoku/>
              <w:overflowPunct/>
              <w:topLinePunct w:val="0"/>
              <w:bidi w:val="0"/>
              <w:adjustRightInd/>
              <w:snapToGrid/>
              <w:jc w:val="center"/>
              <w:rPr>
                <w:rFonts w:hint="eastAsia" w:ascii="仿宋_GB2312" w:hAnsi="宋体" w:eastAsia="仿宋_GB2312" w:cs="仿宋_GB2312"/>
                <w:i w:val="0"/>
                <w:iCs w:val="0"/>
                <w:color w:val="auto"/>
                <w:sz w:val="24"/>
                <w:szCs w:val="24"/>
                <w:highlight w:val="none"/>
                <w:u w:val="none"/>
              </w:rPr>
            </w:pPr>
          </w:p>
        </w:tc>
        <w:tc>
          <w:tcPr>
            <w:tcW w:w="3345" w:type="dxa"/>
            <w:vMerge w:val="continue"/>
            <w:shd w:val="clear" w:color="auto" w:fill="auto"/>
          </w:tcPr>
          <w:p w14:paraId="7226733E">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p>
        </w:tc>
        <w:tc>
          <w:tcPr>
            <w:tcW w:w="6990" w:type="dxa"/>
            <w:shd w:val="clear" w:color="auto" w:fill="auto"/>
            <w:vAlign w:val="center"/>
          </w:tcPr>
          <w:p w14:paraId="50C3F432">
            <w:pPr>
              <w:keepNext w:val="0"/>
              <w:keepLines w:val="0"/>
              <w:pageBreakBefore w:val="0"/>
              <w:widowControl w:val="0"/>
              <w:suppressLineNumbers w:val="0"/>
              <w:shd w:val="clear"/>
              <w:kinsoku/>
              <w:overflowPunct/>
              <w:topLinePunct w:val="0"/>
              <w:bidi w:val="0"/>
              <w:adjustRightInd/>
              <w:snapToGrid/>
              <w:spacing w:line="240" w:lineRule="auto"/>
              <w:jc w:val="center"/>
              <w:textAlignment w:val="center"/>
              <w:rPr>
                <w:rFonts w:hint="default" w:ascii="仿宋_GB2312" w:hAnsi="宋体" w:eastAsia="仿宋_GB2312" w:cs="仿宋_GB2312"/>
                <w:i w:val="0"/>
                <w:iCs w:val="0"/>
                <w:color w:val="auto"/>
                <w:kern w:val="2"/>
                <w:sz w:val="24"/>
                <w:szCs w:val="24"/>
                <w:highlight w:val="none"/>
                <w:u w:val="none"/>
                <w:lang w:val="en-US" w:eastAsia="zh-CN" w:bidi="ar-SA"/>
              </w:rPr>
            </w:pPr>
            <w:r>
              <w:rPr>
                <w:rFonts w:hint="eastAsia" w:ascii="仿宋_GB2312" w:hAnsi="宋体" w:eastAsia="仿宋_GB2312" w:cs="仿宋_GB2312"/>
                <w:i w:val="0"/>
                <w:iCs w:val="0"/>
                <w:color w:val="auto"/>
                <w:kern w:val="2"/>
                <w:sz w:val="24"/>
                <w:szCs w:val="24"/>
                <w:highlight w:val="none"/>
                <w:u w:val="none"/>
                <w:lang w:val="en-US" w:eastAsia="zh-CN" w:bidi="ar-SA"/>
              </w:rPr>
              <w:t>食品经营备案（仅销售预包装食品）</w:t>
            </w:r>
          </w:p>
        </w:tc>
        <w:tc>
          <w:tcPr>
            <w:tcW w:w="1598" w:type="dxa"/>
            <w:vMerge w:val="continue"/>
            <w:shd w:val="clear" w:color="auto" w:fill="auto"/>
          </w:tcPr>
          <w:p w14:paraId="3F14192E">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p>
        </w:tc>
        <w:tc>
          <w:tcPr>
            <w:tcW w:w="2673" w:type="dxa"/>
            <w:shd w:val="clear" w:color="auto" w:fill="auto"/>
            <w:vAlign w:val="center"/>
          </w:tcPr>
          <w:p w14:paraId="1905D9BE">
            <w:pPr>
              <w:keepNext w:val="0"/>
              <w:keepLines w:val="0"/>
              <w:pageBreakBefore w:val="0"/>
              <w:widowControl w:val="0"/>
              <w:suppressLineNumbers w:val="0"/>
              <w:shd w:val="clear"/>
              <w:kinsoku/>
              <w:overflowPunct/>
              <w:topLinePunct w:val="0"/>
              <w:bidi w:val="0"/>
              <w:adjustRightInd/>
              <w:snapToGrid/>
              <w:spacing w:line="240" w:lineRule="auto"/>
              <w:jc w:val="center"/>
              <w:textAlignment w:val="center"/>
              <w:rPr>
                <w:rFonts w:hint="eastAsia" w:ascii="仿宋_GB2312" w:hAnsi="宋体" w:eastAsia="仿宋_GB2312" w:cs="仿宋_GB2312"/>
                <w:i w:val="0"/>
                <w:iCs w:val="0"/>
                <w:color w:val="auto"/>
                <w:kern w:val="2"/>
                <w:sz w:val="24"/>
                <w:szCs w:val="24"/>
                <w:highlight w:val="none"/>
                <w:u w:val="none"/>
                <w:lang w:val="en-US" w:eastAsia="zh-CN" w:bidi="ar-SA"/>
              </w:rPr>
            </w:pPr>
            <w:r>
              <w:rPr>
                <w:rFonts w:hint="eastAsia" w:ascii="仿宋_GB2312" w:hAnsi="宋体" w:eastAsia="仿宋_GB2312" w:cs="仿宋_GB2312"/>
                <w:i w:val="0"/>
                <w:iCs w:val="0"/>
                <w:color w:val="auto"/>
                <w:kern w:val="2"/>
                <w:sz w:val="24"/>
                <w:szCs w:val="24"/>
                <w:highlight w:val="none"/>
                <w:u w:val="none"/>
                <w:lang w:val="en-US" w:eastAsia="zh-CN" w:bidi="ar-SA"/>
              </w:rPr>
              <w:t>市场监管局</w:t>
            </w:r>
          </w:p>
        </w:tc>
      </w:tr>
      <w:tr w14:paraId="685B71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PrEx>
        <w:trPr>
          <w:trHeight w:val="510" w:hRule="atLeast"/>
          <w:jc w:val="center"/>
        </w:trPr>
        <w:tc>
          <w:tcPr>
            <w:tcW w:w="806" w:type="dxa"/>
            <w:vMerge w:val="restart"/>
            <w:shd w:val="clear" w:color="auto" w:fill="auto"/>
            <w:vAlign w:val="center"/>
          </w:tcPr>
          <w:p w14:paraId="24FBCEC8">
            <w:pPr>
              <w:keepNext w:val="0"/>
              <w:keepLines w:val="0"/>
              <w:pageBreakBefore w:val="0"/>
              <w:widowControl w:val="0"/>
              <w:suppressLineNumbers w:val="0"/>
              <w:shd w:val="clear"/>
              <w:kinsoku/>
              <w:overflowPunct/>
              <w:topLinePunct w:val="0"/>
              <w:bidi w:val="0"/>
              <w:adjustRightInd/>
              <w:snapToGrid/>
              <w:jc w:val="center"/>
              <w:textAlignment w:val="center"/>
              <w:rPr>
                <w:rFonts w:hint="default" w:ascii="仿宋_GB2312" w:hAnsi="宋体" w:eastAsia="仿宋_GB2312" w:cs="仿宋_GB2312"/>
                <w:i w:val="0"/>
                <w:iCs w:val="0"/>
                <w:color w:val="auto"/>
                <w:sz w:val="24"/>
                <w:szCs w:val="24"/>
                <w:highlight w:val="none"/>
                <w:u w:val="none"/>
                <w:lang w:val="en-US" w:eastAsia="zh-CN"/>
              </w:rPr>
            </w:pPr>
            <w:r>
              <w:rPr>
                <w:rFonts w:hint="eastAsia" w:ascii="仿宋_GB2312" w:hAnsi="宋体" w:eastAsia="仿宋_GB2312" w:cs="仿宋_GB2312"/>
                <w:i w:val="0"/>
                <w:iCs w:val="0"/>
                <w:color w:val="auto"/>
                <w:sz w:val="24"/>
                <w:szCs w:val="24"/>
                <w:highlight w:val="none"/>
                <w:u w:val="none"/>
                <w:lang w:val="en-US" w:eastAsia="zh-CN"/>
              </w:rPr>
              <w:t>10</w:t>
            </w:r>
          </w:p>
        </w:tc>
        <w:tc>
          <w:tcPr>
            <w:tcW w:w="3345" w:type="dxa"/>
            <w:vMerge w:val="restart"/>
            <w:shd w:val="clear" w:color="auto" w:fill="auto"/>
            <w:vAlign w:val="center"/>
          </w:tcPr>
          <w:p w14:paraId="455ADA51">
            <w:pPr>
              <w:keepNext w:val="0"/>
              <w:keepLines w:val="0"/>
              <w:pageBreakBefore w:val="0"/>
              <w:widowControl w:val="0"/>
              <w:suppressLineNumbers w:val="0"/>
              <w:shd w:val="clear"/>
              <w:kinsoku/>
              <w:overflowPunct/>
              <w:topLinePunct w:val="0"/>
              <w:bidi w:val="0"/>
              <w:adjustRightInd/>
              <w:snapToGrid/>
              <w:spacing w:line="240" w:lineRule="auto"/>
              <w:jc w:val="center"/>
              <w:textAlignment w:val="center"/>
              <w:rPr>
                <w:rFonts w:hint="eastAsia" w:ascii="Times New Roman" w:hAnsi="Times New Roman" w:eastAsia="宋体" w:cs="Times New Roman"/>
                <w:kern w:val="2"/>
                <w:sz w:val="21"/>
                <w:szCs w:val="24"/>
                <w:highlight w:val="none"/>
                <w:lang w:val="en-US" w:eastAsia="zh-CN" w:bidi="ar-SA"/>
              </w:rPr>
            </w:pPr>
            <w:r>
              <w:rPr>
                <w:rFonts w:hint="eastAsia" w:ascii="仿宋_GB2312" w:hAnsi="宋体" w:eastAsia="仿宋_GB2312" w:cs="仿宋_GB2312"/>
                <w:i w:val="0"/>
                <w:iCs w:val="0"/>
                <w:color w:val="auto"/>
                <w:kern w:val="0"/>
                <w:sz w:val="24"/>
                <w:szCs w:val="24"/>
                <w:highlight w:val="none"/>
                <w:u w:val="none"/>
                <w:lang w:val="en-US" w:eastAsia="zh-CN" w:bidi="ar"/>
              </w:rPr>
              <w:t>开办庆典服务代理机构“一件事”</w:t>
            </w:r>
          </w:p>
        </w:tc>
        <w:tc>
          <w:tcPr>
            <w:tcW w:w="6990" w:type="dxa"/>
            <w:shd w:val="clear" w:color="auto" w:fill="auto"/>
            <w:vAlign w:val="center"/>
          </w:tcPr>
          <w:p w14:paraId="3D1D6ABA">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kern w:val="2"/>
                <w:sz w:val="24"/>
                <w:szCs w:val="24"/>
                <w:highlight w:val="none"/>
                <w:u w:val="none"/>
                <w:lang w:val="en-US" w:eastAsia="zh-CN" w:bidi="ar-SA"/>
              </w:rPr>
            </w:pPr>
            <w:r>
              <w:rPr>
                <w:rFonts w:hint="eastAsia" w:ascii="仿宋_GB2312" w:hAnsi="宋体" w:eastAsia="仿宋_GB2312" w:cs="仿宋_GB2312"/>
                <w:i w:val="0"/>
                <w:iCs w:val="0"/>
                <w:color w:val="auto"/>
                <w:sz w:val="24"/>
                <w:szCs w:val="24"/>
                <w:highlight w:val="none"/>
                <w:u w:val="none"/>
                <w:lang w:val="en-US" w:eastAsia="zh-CN"/>
              </w:rPr>
              <w:t>有限责任公司设立</w:t>
            </w:r>
          </w:p>
        </w:tc>
        <w:tc>
          <w:tcPr>
            <w:tcW w:w="1598" w:type="dxa"/>
            <w:vMerge w:val="restart"/>
            <w:shd w:val="clear" w:color="auto" w:fill="auto"/>
            <w:vAlign w:val="center"/>
          </w:tcPr>
          <w:p w14:paraId="1DA997F9">
            <w:pPr>
              <w:keepNext w:val="0"/>
              <w:keepLines w:val="0"/>
              <w:pageBreakBefore w:val="0"/>
              <w:widowControl w:val="0"/>
              <w:suppressLineNumbers w:val="0"/>
              <w:shd w:val="clear"/>
              <w:kinsoku/>
              <w:overflowPunct/>
              <w:topLinePunct w:val="0"/>
              <w:bidi w:val="0"/>
              <w:adjustRightInd/>
              <w:snapToGrid/>
              <w:jc w:val="center"/>
              <w:textAlignment w:val="center"/>
              <w:rPr>
                <w:rFonts w:hint="default" w:ascii="仿宋_GB2312" w:hAnsi="宋体" w:eastAsia="仿宋_GB2312" w:cs="仿宋_GB2312"/>
                <w:i w:val="0"/>
                <w:iCs w:val="0"/>
                <w:color w:val="auto"/>
                <w:kern w:val="2"/>
                <w:sz w:val="24"/>
                <w:szCs w:val="24"/>
                <w:highlight w:val="none"/>
                <w:u w:val="none"/>
                <w:lang w:val="en-US" w:eastAsia="zh-CN" w:bidi="ar-SA"/>
              </w:rPr>
            </w:pPr>
            <w:r>
              <w:rPr>
                <w:rFonts w:hint="eastAsia" w:ascii="仿宋_GB2312" w:hAnsi="宋体" w:eastAsia="仿宋_GB2312" w:cs="仿宋_GB2312"/>
                <w:i w:val="0"/>
                <w:iCs w:val="0"/>
                <w:color w:val="auto"/>
                <w:kern w:val="2"/>
                <w:sz w:val="24"/>
                <w:szCs w:val="24"/>
                <w:highlight w:val="none"/>
                <w:u w:val="none"/>
                <w:lang w:val="en-US" w:eastAsia="zh-CN" w:bidi="ar-SA"/>
              </w:rPr>
              <w:t>市场监管局</w:t>
            </w:r>
          </w:p>
        </w:tc>
        <w:tc>
          <w:tcPr>
            <w:tcW w:w="2673" w:type="dxa"/>
            <w:shd w:val="clear" w:color="auto" w:fill="auto"/>
            <w:vAlign w:val="center"/>
          </w:tcPr>
          <w:p w14:paraId="253F1410">
            <w:pPr>
              <w:keepNext w:val="0"/>
              <w:keepLines w:val="0"/>
              <w:pageBreakBefore w:val="0"/>
              <w:widowControl w:val="0"/>
              <w:suppressLineNumbers w:val="0"/>
              <w:shd w:val="clear"/>
              <w:kinsoku/>
              <w:overflowPunct/>
              <w:topLinePunct w:val="0"/>
              <w:bidi w:val="0"/>
              <w:adjustRightInd/>
              <w:snapToGrid/>
              <w:spacing w:line="240" w:lineRule="auto"/>
              <w:jc w:val="center"/>
              <w:textAlignment w:val="center"/>
              <w:rPr>
                <w:rFonts w:hint="eastAsia" w:ascii="仿宋_GB2312" w:hAnsi="宋体" w:eastAsia="仿宋_GB2312" w:cs="仿宋_GB2312"/>
                <w:i w:val="0"/>
                <w:iCs w:val="0"/>
                <w:color w:val="auto"/>
                <w:kern w:val="2"/>
                <w:sz w:val="24"/>
                <w:szCs w:val="24"/>
                <w:highlight w:val="none"/>
                <w:u w:val="none"/>
                <w:lang w:val="en-US" w:eastAsia="zh-CN" w:bidi="ar-SA"/>
              </w:rPr>
            </w:pPr>
            <w:r>
              <w:rPr>
                <w:rFonts w:hint="eastAsia" w:ascii="仿宋_GB2312" w:hAnsi="宋体" w:eastAsia="仿宋_GB2312" w:cs="仿宋_GB2312"/>
                <w:i w:val="0"/>
                <w:iCs w:val="0"/>
                <w:color w:val="auto"/>
                <w:kern w:val="2"/>
                <w:sz w:val="24"/>
                <w:szCs w:val="24"/>
                <w:highlight w:val="none"/>
                <w:u w:val="none"/>
                <w:lang w:val="en-US" w:eastAsia="zh-CN" w:bidi="ar-SA"/>
              </w:rPr>
              <w:t>市场监管局</w:t>
            </w:r>
          </w:p>
        </w:tc>
      </w:tr>
      <w:tr w14:paraId="0EC254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PrEx>
        <w:trPr>
          <w:trHeight w:val="510" w:hRule="atLeast"/>
          <w:jc w:val="center"/>
        </w:trPr>
        <w:tc>
          <w:tcPr>
            <w:tcW w:w="806" w:type="dxa"/>
            <w:vMerge w:val="continue"/>
            <w:shd w:val="clear" w:color="auto" w:fill="auto"/>
          </w:tcPr>
          <w:p w14:paraId="02FB0702">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sz w:val="24"/>
                <w:szCs w:val="24"/>
                <w:highlight w:val="none"/>
                <w:u w:val="none"/>
                <w:lang w:eastAsia="zh-CN"/>
              </w:rPr>
            </w:pPr>
          </w:p>
        </w:tc>
        <w:tc>
          <w:tcPr>
            <w:tcW w:w="3345" w:type="dxa"/>
            <w:vMerge w:val="continue"/>
            <w:shd w:val="clear" w:color="auto" w:fill="auto"/>
            <w:vAlign w:val="top"/>
          </w:tcPr>
          <w:p w14:paraId="28B260DF">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p>
        </w:tc>
        <w:tc>
          <w:tcPr>
            <w:tcW w:w="6990" w:type="dxa"/>
            <w:shd w:val="clear" w:color="auto" w:fill="auto"/>
            <w:vAlign w:val="center"/>
          </w:tcPr>
          <w:p w14:paraId="5DE900AA">
            <w:pPr>
              <w:keepNext w:val="0"/>
              <w:keepLines w:val="0"/>
              <w:pageBreakBefore w:val="0"/>
              <w:widowControl w:val="0"/>
              <w:suppressLineNumbers w:val="0"/>
              <w:shd w:val="clear"/>
              <w:kinsoku/>
              <w:overflowPunct/>
              <w:topLinePunct w:val="0"/>
              <w:bidi w:val="0"/>
              <w:adjustRightInd/>
              <w:snapToGrid/>
              <w:jc w:val="center"/>
              <w:textAlignment w:val="center"/>
              <w:rPr>
                <w:rFonts w:hint="default" w:ascii="仿宋_GB2312" w:hAnsi="宋体" w:eastAsia="仿宋_GB2312" w:cs="仿宋_GB2312"/>
                <w:i w:val="0"/>
                <w:iCs w:val="0"/>
                <w:color w:val="auto"/>
                <w:kern w:val="2"/>
                <w:sz w:val="24"/>
                <w:szCs w:val="24"/>
                <w:highlight w:val="none"/>
                <w:u w:val="none"/>
                <w:lang w:val="en-US" w:eastAsia="zh-CN" w:bidi="ar-SA"/>
              </w:rPr>
            </w:pPr>
            <w:r>
              <w:rPr>
                <w:rFonts w:hint="eastAsia" w:ascii="仿宋_GB2312" w:hAnsi="宋体" w:eastAsia="仿宋_GB2312" w:cs="仿宋_GB2312"/>
                <w:i w:val="0"/>
                <w:iCs w:val="0"/>
                <w:color w:val="auto"/>
                <w:sz w:val="24"/>
                <w:szCs w:val="24"/>
                <w:highlight w:val="none"/>
                <w:u w:val="none"/>
                <w:lang w:val="en-US" w:eastAsia="zh-CN"/>
              </w:rPr>
              <w:t>食品经营许可</w:t>
            </w:r>
          </w:p>
        </w:tc>
        <w:tc>
          <w:tcPr>
            <w:tcW w:w="1598" w:type="dxa"/>
            <w:vMerge w:val="continue"/>
            <w:shd w:val="clear" w:color="auto" w:fill="auto"/>
          </w:tcPr>
          <w:p w14:paraId="30F657A3">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p>
        </w:tc>
        <w:tc>
          <w:tcPr>
            <w:tcW w:w="2673" w:type="dxa"/>
            <w:shd w:val="clear" w:color="auto" w:fill="auto"/>
            <w:vAlign w:val="center"/>
          </w:tcPr>
          <w:p w14:paraId="61BD0DA7">
            <w:pPr>
              <w:keepNext w:val="0"/>
              <w:keepLines w:val="0"/>
              <w:pageBreakBefore w:val="0"/>
              <w:widowControl w:val="0"/>
              <w:suppressLineNumbers w:val="0"/>
              <w:shd w:val="clear"/>
              <w:kinsoku/>
              <w:overflowPunct/>
              <w:topLinePunct w:val="0"/>
              <w:bidi w:val="0"/>
              <w:adjustRightInd/>
              <w:snapToGrid/>
              <w:spacing w:line="240" w:lineRule="auto"/>
              <w:jc w:val="center"/>
              <w:textAlignment w:val="center"/>
              <w:rPr>
                <w:rFonts w:hint="eastAsia" w:ascii="仿宋_GB2312" w:hAnsi="宋体" w:eastAsia="仿宋_GB2312" w:cs="仿宋_GB2312"/>
                <w:i w:val="0"/>
                <w:iCs w:val="0"/>
                <w:color w:val="auto"/>
                <w:kern w:val="2"/>
                <w:sz w:val="24"/>
                <w:szCs w:val="24"/>
                <w:highlight w:val="none"/>
                <w:u w:val="none"/>
                <w:lang w:val="en-US" w:eastAsia="zh-CN" w:bidi="ar-SA"/>
              </w:rPr>
            </w:pPr>
            <w:r>
              <w:rPr>
                <w:rFonts w:hint="eastAsia" w:ascii="仿宋_GB2312" w:hAnsi="宋体" w:eastAsia="仿宋_GB2312" w:cs="仿宋_GB2312"/>
                <w:i w:val="0"/>
                <w:iCs w:val="0"/>
                <w:color w:val="auto"/>
                <w:kern w:val="2"/>
                <w:sz w:val="24"/>
                <w:szCs w:val="24"/>
                <w:highlight w:val="none"/>
                <w:u w:val="none"/>
                <w:lang w:val="en-US" w:eastAsia="zh-CN" w:bidi="ar-SA"/>
              </w:rPr>
              <w:t>市场监管局</w:t>
            </w:r>
          </w:p>
        </w:tc>
      </w:tr>
      <w:tr w14:paraId="5F497D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PrEx>
        <w:trPr>
          <w:trHeight w:val="510" w:hRule="atLeast"/>
          <w:jc w:val="center"/>
        </w:trPr>
        <w:tc>
          <w:tcPr>
            <w:tcW w:w="806" w:type="dxa"/>
            <w:vMerge w:val="continue"/>
            <w:shd w:val="clear" w:color="auto" w:fill="auto"/>
          </w:tcPr>
          <w:p w14:paraId="0C8EF975">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sz w:val="24"/>
                <w:szCs w:val="24"/>
                <w:highlight w:val="none"/>
                <w:u w:val="none"/>
                <w:lang w:eastAsia="zh-CN"/>
              </w:rPr>
            </w:pPr>
          </w:p>
        </w:tc>
        <w:tc>
          <w:tcPr>
            <w:tcW w:w="3345" w:type="dxa"/>
            <w:vMerge w:val="continue"/>
            <w:shd w:val="clear" w:color="auto" w:fill="auto"/>
            <w:vAlign w:val="top"/>
          </w:tcPr>
          <w:p w14:paraId="3290550A">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p>
        </w:tc>
        <w:tc>
          <w:tcPr>
            <w:tcW w:w="6990" w:type="dxa"/>
            <w:shd w:val="clear" w:color="auto" w:fill="auto"/>
            <w:vAlign w:val="center"/>
          </w:tcPr>
          <w:p w14:paraId="1DB6FFE5">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kern w:val="2"/>
                <w:sz w:val="24"/>
                <w:szCs w:val="24"/>
                <w:highlight w:val="none"/>
                <w:u w:val="none"/>
                <w:lang w:val="en-US" w:eastAsia="zh-CN" w:bidi="ar-SA"/>
              </w:rPr>
            </w:pPr>
            <w:r>
              <w:rPr>
                <w:rFonts w:hint="eastAsia" w:ascii="仿宋_GB2312" w:hAnsi="宋体" w:eastAsia="仿宋_GB2312" w:cs="仿宋_GB2312"/>
                <w:i w:val="0"/>
                <w:iCs w:val="0"/>
                <w:color w:val="auto"/>
                <w:sz w:val="24"/>
                <w:szCs w:val="24"/>
                <w:highlight w:val="none"/>
                <w:u w:val="none"/>
                <w:lang w:val="en-US" w:eastAsia="zh-CN"/>
              </w:rPr>
              <w:t>公众聚集场所投入使用、营业前消防安全检查</w:t>
            </w:r>
          </w:p>
        </w:tc>
        <w:tc>
          <w:tcPr>
            <w:tcW w:w="1598" w:type="dxa"/>
            <w:vMerge w:val="continue"/>
            <w:shd w:val="clear" w:color="auto" w:fill="auto"/>
          </w:tcPr>
          <w:p w14:paraId="713C9C6A">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p>
        </w:tc>
        <w:tc>
          <w:tcPr>
            <w:tcW w:w="2673" w:type="dxa"/>
            <w:shd w:val="clear" w:color="auto" w:fill="auto"/>
            <w:vAlign w:val="center"/>
          </w:tcPr>
          <w:p w14:paraId="1416244D">
            <w:pPr>
              <w:keepNext w:val="0"/>
              <w:keepLines w:val="0"/>
              <w:pageBreakBefore w:val="0"/>
              <w:widowControl w:val="0"/>
              <w:suppressLineNumbers w:val="0"/>
              <w:shd w:val="clear"/>
              <w:kinsoku/>
              <w:overflowPunct/>
              <w:topLinePunct w:val="0"/>
              <w:bidi w:val="0"/>
              <w:adjustRightInd/>
              <w:snapToGrid/>
              <w:spacing w:line="240" w:lineRule="auto"/>
              <w:jc w:val="center"/>
              <w:textAlignment w:val="center"/>
              <w:rPr>
                <w:rFonts w:hint="eastAsia" w:ascii="仿宋_GB2312" w:hAnsi="宋体" w:eastAsia="仿宋_GB2312" w:cs="仿宋_GB2312"/>
                <w:i w:val="0"/>
                <w:iCs w:val="0"/>
                <w:color w:val="auto"/>
                <w:kern w:val="2"/>
                <w:sz w:val="24"/>
                <w:szCs w:val="24"/>
                <w:highlight w:val="none"/>
                <w:u w:val="none"/>
                <w:lang w:val="en-US" w:eastAsia="zh-CN" w:bidi="ar-SA"/>
              </w:rPr>
            </w:pPr>
            <w:r>
              <w:rPr>
                <w:rFonts w:hint="eastAsia" w:ascii="仿宋_GB2312" w:hAnsi="宋体" w:eastAsia="仿宋_GB2312" w:cs="仿宋_GB2312"/>
                <w:i w:val="0"/>
                <w:iCs w:val="0"/>
                <w:color w:val="auto"/>
                <w:kern w:val="2"/>
                <w:sz w:val="24"/>
                <w:szCs w:val="24"/>
                <w:highlight w:val="none"/>
                <w:u w:val="none"/>
                <w:lang w:val="en-US" w:eastAsia="zh-CN" w:bidi="ar-SA"/>
              </w:rPr>
              <w:t>消防救援局</w:t>
            </w:r>
          </w:p>
        </w:tc>
      </w:tr>
      <w:tr w14:paraId="61B73F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PrEx>
        <w:trPr>
          <w:trHeight w:val="510" w:hRule="atLeast"/>
          <w:jc w:val="center"/>
        </w:trPr>
        <w:tc>
          <w:tcPr>
            <w:tcW w:w="806" w:type="dxa"/>
            <w:vMerge w:val="continue"/>
            <w:shd w:val="clear" w:color="auto" w:fill="auto"/>
          </w:tcPr>
          <w:p w14:paraId="2D30A40D">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sz w:val="24"/>
                <w:szCs w:val="24"/>
                <w:highlight w:val="none"/>
                <w:u w:val="none"/>
                <w:lang w:eastAsia="zh-CN"/>
              </w:rPr>
            </w:pPr>
          </w:p>
        </w:tc>
        <w:tc>
          <w:tcPr>
            <w:tcW w:w="3345" w:type="dxa"/>
            <w:vMerge w:val="continue"/>
            <w:shd w:val="clear" w:color="auto" w:fill="auto"/>
            <w:vAlign w:val="top"/>
          </w:tcPr>
          <w:p w14:paraId="1A3333C9">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p>
        </w:tc>
        <w:tc>
          <w:tcPr>
            <w:tcW w:w="6990" w:type="dxa"/>
            <w:shd w:val="clear" w:color="auto" w:fill="auto"/>
            <w:vAlign w:val="center"/>
          </w:tcPr>
          <w:p w14:paraId="0D0536FF">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sz w:val="24"/>
                <w:szCs w:val="24"/>
                <w:highlight w:val="none"/>
                <w:u w:val="none"/>
                <w:lang w:val="en-US" w:eastAsia="zh-CN"/>
              </w:rPr>
            </w:pPr>
            <w:r>
              <w:rPr>
                <w:rFonts w:hint="default" w:ascii="仿宋_GB2312" w:hAnsi="宋体" w:eastAsia="仿宋_GB2312" w:cs="仿宋_GB2312"/>
                <w:i w:val="0"/>
                <w:iCs w:val="0"/>
                <w:color w:val="auto"/>
                <w:sz w:val="24"/>
                <w:szCs w:val="24"/>
                <w:highlight w:val="none"/>
                <w:u w:val="none"/>
                <w:lang w:val="en-US" w:eastAsia="zh-CN"/>
              </w:rPr>
              <w:t>举办内地营业性演出审批</w:t>
            </w:r>
          </w:p>
        </w:tc>
        <w:tc>
          <w:tcPr>
            <w:tcW w:w="1598" w:type="dxa"/>
            <w:vMerge w:val="continue"/>
            <w:shd w:val="clear" w:color="auto" w:fill="auto"/>
          </w:tcPr>
          <w:p w14:paraId="615E0AB6">
            <w:pPr>
              <w:keepNext w:val="0"/>
              <w:keepLines w:val="0"/>
              <w:pageBreakBefore w:val="0"/>
              <w:widowControl w:val="0"/>
              <w:suppressLineNumbers w:val="0"/>
              <w:shd w:val="clear"/>
              <w:kinsoku/>
              <w:overflowPunct/>
              <w:topLinePunct w:val="0"/>
              <w:bidi w:val="0"/>
              <w:adjustRightInd/>
              <w:snapToGrid/>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p>
        </w:tc>
        <w:tc>
          <w:tcPr>
            <w:tcW w:w="2673" w:type="dxa"/>
            <w:shd w:val="clear" w:color="auto" w:fill="auto"/>
            <w:vAlign w:val="center"/>
          </w:tcPr>
          <w:p w14:paraId="50E0E3F8">
            <w:pPr>
              <w:keepNext w:val="0"/>
              <w:keepLines w:val="0"/>
              <w:pageBreakBefore w:val="0"/>
              <w:widowControl w:val="0"/>
              <w:suppressLineNumbers w:val="0"/>
              <w:shd w:val="clear"/>
              <w:kinsoku/>
              <w:overflowPunct/>
              <w:topLinePunct w:val="0"/>
              <w:bidi w:val="0"/>
              <w:adjustRightInd/>
              <w:snapToGrid/>
              <w:spacing w:line="240" w:lineRule="auto"/>
              <w:jc w:val="center"/>
              <w:textAlignment w:val="center"/>
              <w:rPr>
                <w:rFonts w:hint="eastAsia" w:ascii="仿宋_GB2312" w:hAnsi="宋体" w:eastAsia="仿宋_GB2312" w:cs="仿宋_GB2312"/>
                <w:i w:val="0"/>
                <w:iCs w:val="0"/>
                <w:color w:val="auto"/>
                <w:kern w:val="2"/>
                <w:sz w:val="24"/>
                <w:szCs w:val="24"/>
                <w:highlight w:val="none"/>
                <w:u w:val="none"/>
                <w:lang w:val="en-US" w:eastAsia="zh-CN" w:bidi="ar-SA"/>
              </w:rPr>
            </w:pPr>
            <w:r>
              <w:rPr>
                <w:rFonts w:hint="eastAsia" w:ascii="仿宋_GB2312" w:hAnsi="宋体" w:eastAsia="仿宋_GB2312" w:cs="仿宋_GB2312"/>
                <w:i w:val="0"/>
                <w:iCs w:val="0"/>
                <w:color w:val="auto"/>
                <w:kern w:val="2"/>
                <w:sz w:val="24"/>
                <w:szCs w:val="24"/>
                <w:highlight w:val="none"/>
                <w:u w:val="none"/>
                <w:lang w:val="en-US" w:eastAsia="zh-CN" w:bidi="ar-SA"/>
              </w:rPr>
              <w:t>政务服务办</w:t>
            </w:r>
          </w:p>
        </w:tc>
      </w:tr>
    </w:tbl>
    <w:p w14:paraId="0B8292A2">
      <w:pPr>
        <w:jc w:val="both"/>
        <w:rPr>
          <w:rFonts w:hint="default"/>
          <w:lang w:val="en-US" w:eastAsia="zh-CN"/>
        </w:rPr>
      </w:pPr>
    </w:p>
    <w:p w14:paraId="1CF39D0E">
      <w:pPr>
        <w:jc w:val="both"/>
        <w:rPr>
          <w:rFonts w:hint="default"/>
          <w:lang w:val="en-US" w:eastAsia="zh-CN"/>
        </w:rPr>
      </w:pPr>
    </w:p>
    <w:p w14:paraId="71AA0DA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sectPr>
          <w:pgSz w:w="16838" w:h="11906" w:orient="landscape"/>
          <w:pgMar w:top="1440" w:right="1080" w:bottom="1440" w:left="1080" w:header="851" w:footer="1134" w:gutter="0"/>
          <w:pgNumType w:fmt="numberInDash"/>
          <w:cols w:space="425" w:num="1"/>
          <w:docGrid w:type="lines" w:linePitch="312" w:charSpace="0"/>
        </w:sectPr>
      </w:pPr>
      <w:bookmarkStart w:id="0" w:name="_GoBack"/>
      <w:bookmarkEnd w:id="0"/>
    </w:p>
    <w:p w14:paraId="23D3022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pPr>
    </w:p>
    <w:p w14:paraId="72CEE00B">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b w:val="0"/>
          <w:bCs w:val="0"/>
          <w:color w:val="auto"/>
          <w:sz w:val="32"/>
          <w:szCs w:val="32"/>
          <w:lang w:val="en-US" w:eastAsia="zh-CN"/>
        </w:rPr>
      </w:pPr>
    </w:p>
    <w:p w14:paraId="39A15379">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b w:val="0"/>
          <w:bCs w:val="0"/>
          <w:color w:val="auto"/>
          <w:sz w:val="32"/>
          <w:szCs w:val="32"/>
          <w:lang w:val="en-US" w:eastAsia="zh-CN"/>
        </w:rPr>
      </w:pPr>
    </w:p>
    <w:p w14:paraId="35715C82">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b w:val="0"/>
          <w:bCs w:val="0"/>
          <w:color w:val="auto"/>
          <w:sz w:val="32"/>
          <w:szCs w:val="32"/>
          <w:lang w:val="en-US" w:eastAsia="zh-CN"/>
        </w:rPr>
      </w:pPr>
    </w:p>
    <w:p w14:paraId="1F404B47">
      <w:pPr>
        <w:jc w:val="both"/>
        <w:rPr>
          <w:rFonts w:hint="default"/>
          <w:lang w:val="en-US" w:eastAsia="zh-CN"/>
        </w:rPr>
      </w:pPr>
    </w:p>
    <w:sectPr>
      <w:pgSz w:w="11906" w:h="16838"/>
      <w:pgMar w:top="1080" w:right="1440" w:bottom="1080" w:left="1440" w:header="851" w:footer="1134"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3000509000000000000"/>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文星仿宋">
    <w:altName w:val="仿宋_GB2312"/>
    <w:panose1 w:val="00000000000000000000"/>
    <w:charset w:val="00"/>
    <w:family w:val="auto"/>
    <w:pitch w:val="default"/>
    <w:sig w:usb0="00000000" w:usb1="00000000" w:usb2="00000010"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微软雅黑">
    <w:altName w:val="黑体"/>
    <w:panose1 w:val="020B0503020204020204"/>
    <w:charset w:val="86"/>
    <w:family w:val="swiss"/>
    <w:pitch w:val="default"/>
    <w:sig w:usb0="00000000" w:usb1="00000000" w:usb2="00000016" w:usb3="00000000" w:csb0="0004001F" w:csb1="00000000"/>
  </w:font>
  <w:font w:name="方正仿宋_GBK">
    <w:panose1 w:val="020000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4F6925">
    <w:pPr>
      <w:pStyle w:val="4"/>
      <w:jc w:val="cente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17" name="文本框 4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41B832">
                          <w:pPr>
                            <w:pStyle w:val="4"/>
                            <w:jc w:val="cente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PAGE   \* MERGEFORMAT</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lang w:val="zh-CN"/>
                            </w:rPr>
                            <w:t>33</w:t>
                          </w:r>
                          <w:r>
                            <w:rPr>
                              <w:rFonts w:hint="eastAsia" w:ascii="仿宋_GB2312" w:hAnsi="仿宋_GB2312" w:eastAsia="仿宋_GB2312" w:cs="仿宋_GB2312"/>
                              <w:sz w:val="32"/>
                              <w:szCs w:val="32"/>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tqGbg0AgAAZQ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43fUGKYRslP37+d&#10;fvw6/fxK0iEkalyYIXLjEBvbt7ZF4wznAYeJeVt5nb7gROCHwMeLwKKNhKdL08l0msPF4Rs2wM8e&#10;rjsf4jthNUlGQT0q2AnLDrch9qFDSMpm7Foq1VVRGdIU9Orl67y7cPEAXBnkSCT6xyYrttv2zGxr&#10;yyOIedt3R3B8LZH8loV4zzzaAQ/GwMQ7LJWySGLPFiW19V/+dZ7iUSV4KWnQXgU1mCZK1HuD6gEw&#10;DoYfjO1gmL2+sejXMQbR8c7EBR/VYFbe6s+YomXKARczHJkKGgfzJvYtjinkYrnsgvbOy13dX0Dv&#10;ORZvzcbxlCYJGdxyHyFmp3ESqFflrBu6r6vSeVJSe/+576Ie/g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bahm4NAIAAGUEAAAOAAAAAAAAAAEAIAAAAB8BAABkcnMvZTJvRG9jLnhtbFBL&#10;BQYAAAAABgAGAFkBAADFBQAAAAA=&#10;">
              <v:fill on="f" focussize="0,0"/>
              <v:stroke on="f" weight="0.5pt"/>
              <v:imagedata o:title=""/>
              <o:lock v:ext="edit" aspectratio="f"/>
              <v:textbox inset="0mm,0mm,0mm,0mm" style="mso-fit-shape-to-text:t;">
                <w:txbxContent>
                  <w:p w14:paraId="3241B832">
                    <w:pPr>
                      <w:pStyle w:val="4"/>
                      <w:jc w:val="cente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PAGE   \* MERGEFORMAT</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lang w:val="zh-CN"/>
                      </w:rPr>
                      <w:t>33</w:t>
                    </w:r>
                    <w:r>
                      <w:rPr>
                        <w:rFonts w:hint="eastAsia" w:ascii="仿宋_GB2312" w:hAnsi="仿宋_GB2312" w:eastAsia="仿宋_GB2312" w:cs="仿宋_GB2312"/>
                        <w:sz w:val="32"/>
                        <w:szCs w:val="32"/>
                      </w:rPr>
                      <w:fldChar w:fldCharType="end"/>
                    </w:r>
                  </w:p>
                </w:txbxContent>
              </v:textbox>
            </v:shape>
          </w:pict>
        </mc:Fallback>
      </mc:AlternateContent>
    </w:r>
  </w:p>
  <w:p w14:paraId="6CFF6721">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RmZjcwNDA0Mjg1NjhkY2M3YTE4MjMwY2RlZDY0NjMifQ=="/>
  </w:docVars>
  <w:rsids>
    <w:rsidRoot w:val="00000000"/>
    <w:rsid w:val="01610122"/>
    <w:rsid w:val="02E80AFB"/>
    <w:rsid w:val="032A4C70"/>
    <w:rsid w:val="03D64DF8"/>
    <w:rsid w:val="04F01EE9"/>
    <w:rsid w:val="05497E7E"/>
    <w:rsid w:val="05F45A09"/>
    <w:rsid w:val="07AB4D86"/>
    <w:rsid w:val="07D77390"/>
    <w:rsid w:val="09A64209"/>
    <w:rsid w:val="0A4D7F2B"/>
    <w:rsid w:val="0C0A3890"/>
    <w:rsid w:val="0CA27F6D"/>
    <w:rsid w:val="0CB97065"/>
    <w:rsid w:val="0EFEF8DA"/>
    <w:rsid w:val="10BB7585"/>
    <w:rsid w:val="10F863AD"/>
    <w:rsid w:val="11BE6171"/>
    <w:rsid w:val="125C6E10"/>
    <w:rsid w:val="134C0991"/>
    <w:rsid w:val="14411E19"/>
    <w:rsid w:val="144539CC"/>
    <w:rsid w:val="159A564E"/>
    <w:rsid w:val="15C54CCC"/>
    <w:rsid w:val="175B5F64"/>
    <w:rsid w:val="184B770B"/>
    <w:rsid w:val="19393A07"/>
    <w:rsid w:val="194E3880"/>
    <w:rsid w:val="1A1B135F"/>
    <w:rsid w:val="1B60171F"/>
    <w:rsid w:val="1B944F25"/>
    <w:rsid w:val="1CFF6D16"/>
    <w:rsid w:val="1DAF4298"/>
    <w:rsid w:val="1EC2624D"/>
    <w:rsid w:val="1F903C55"/>
    <w:rsid w:val="20370574"/>
    <w:rsid w:val="20373466"/>
    <w:rsid w:val="2063580D"/>
    <w:rsid w:val="20BF7DA3"/>
    <w:rsid w:val="218133B0"/>
    <w:rsid w:val="21AA36F4"/>
    <w:rsid w:val="226F0499"/>
    <w:rsid w:val="23E46C65"/>
    <w:rsid w:val="25DC4098"/>
    <w:rsid w:val="268B33C8"/>
    <w:rsid w:val="27DD4412"/>
    <w:rsid w:val="283C7070"/>
    <w:rsid w:val="28CF1C92"/>
    <w:rsid w:val="28EA6ACC"/>
    <w:rsid w:val="296E14AB"/>
    <w:rsid w:val="2BE47802"/>
    <w:rsid w:val="2BE94E19"/>
    <w:rsid w:val="2CBF3DCB"/>
    <w:rsid w:val="2DA80637"/>
    <w:rsid w:val="2F366DC7"/>
    <w:rsid w:val="2FF7BD2A"/>
    <w:rsid w:val="31DE4CF4"/>
    <w:rsid w:val="31F633A7"/>
    <w:rsid w:val="324C4353"/>
    <w:rsid w:val="32AA2E28"/>
    <w:rsid w:val="33122EA7"/>
    <w:rsid w:val="33501C21"/>
    <w:rsid w:val="3392223A"/>
    <w:rsid w:val="33EA3E24"/>
    <w:rsid w:val="36CD0D83"/>
    <w:rsid w:val="3781684D"/>
    <w:rsid w:val="39700927"/>
    <w:rsid w:val="39C80763"/>
    <w:rsid w:val="3A4B4EF0"/>
    <w:rsid w:val="3A8A5A19"/>
    <w:rsid w:val="3C2B6133"/>
    <w:rsid w:val="3C6D55F2"/>
    <w:rsid w:val="3D031AB2"/>
    <w:rsid w:val="3EA42E21"/>
    <w:rsid w:val="3EEB27FE"/>
    <w:rsid w:val="3FDDF2B9"/>
    <w:rsid w:val="402760C0"/>
    <w:rsid w:val="40A471BE"/>
    <w:rsid w:val="41474593"/>
    <w:rsid w:val="415C7589"/>
    <w:rsid w:val="41EA3241"/>
    <w:rsid w:val="426E5C20"/>
    <w:rsid w:val="446C2633"/>
    <w:rsid w:val="455E01CE"/>
    <w:rsid w:val="458D460F"/>
    <w:rsid w:val="461B1C1B"/>
    <w:rsid w:val="4655370B"/>
    <w:rsid w:val="46AB11F1"/>
    <w:rsid w:val="46EF1252"/>
    <w:rsid w:val="48FF75D2"/>
    <w:rsid w:val="495F2766"/>
    <w:rsid w:val="4BB5041C"/>
    <w:rsid w:val="4BDC009E"/>
    <w:rsid w:val="4DF7D276"/>
    <w:rsid w:val="4DFFAC26"/>
    <w:rsid w:val="4E636855"/>
    <w:rsid w:val="4EBF32E0"/>
    <w:rsid w:val="4F02606E"/>
    <w:rsid w:val="4F9D0065"/>
    <w:rsid w:val="50AD4AA5"/>
    <w:rsid w:val="50D6330E"/>
    <w:rsid w:val="520467FD"/>
    <w:rsid w:val="527C6137"/>
    <w:rsid w:val="54095601"/>
    <w:rsid w:val="54A021E1"/>
    <w:rsid w:val="56424FA2"/>
    <w:rsid w:val="567A1320"/>
    <w:rsid w:val="577218B7"/>
    <w:rsid w:val="57DD1426"/>
    <w:rsid w:val="57E207EA"/>
    <w:rsid w:val="58920462"/>
    <w:rsid w:val="5A4E2840"/>
    <w:rsid w:val="5A8262B5"/>
    <w:rsid w:val="5AF64F86"/>
    <w:rsid w:val="5BEF797A"/>
    <w:rsid w:val="5C0E6052"/>
    <w:rsid w:val="5C447516"/>
    <w:rsid w:val="5CBA7F88"/>
    <w:rsid w:val="5D2D69AC"/>
    <w:rsid w:val="5DFA6662"/>
    <w:rsid w:val="5EBBBCE3"/>
    <w:rsid w:val="5FFD7D4D"/>
    <w:rsid w:val="5FFE6792"/>
    <w:rsid w:val="61840B64"/>
    <w:rsid w:val="636F676C"/>
    <w:rsid w:val="63960D89"/>
    <w:rsid w:val="6558065A"/>
    <w:rsid w:val="657D26FD"/>
    <w:rsid w:val="65FAB059"/>
    <w:rsid w:val="660A312A"/>
    <w:rsid w:val="675B2367"/>
    <w:rsid w:val="678673E4"/>
    <w:rsid w:val="67D5211A"/>
    <w:rsid w:val="67D6541D"/>
    <w:rsid w:val="68E72104"/>
    <w:rsid w:val="6A520C92"/>
    <w:rsid w:val="6E2FC5F3"/>
    <w:rsid w:val="6E7F2723"/>
    <w:rsid w:val="6EFF5F49"/>
    <w:rsid w:val="6F69539A"/>
    <w:rsid w:val="6FC7C85E"/>
    <w:rsid w:val="72CE60E3"/>
    <w:rsid w:val="730B2E93"/>
    <w:rsid w:val="737573EF"/>
    <w:rsid w:val="737F118B"/>
    <w:rsid w:val="73D99873"/>
    <w:rsid w:val="75245581"/>
    <w:rsid w:val="753F0DBB"/>
    <w:rsid w:val="762F6E99"/>
    <w:rsid w:val="764A3CD3"/>
    <w:rsid w:val="77FF8DE8"/>
    <w:rsid w:val="79FFBE7A"/>
    <w:rsid w:val="7A330521"/>
    <w:rsid w:val="7AFD2E1D"/>
    <w:rsid w:val="7C442F72"/>
    <w:rsid w:val="7CFFFA73"/>
    <w:rsid w:val="7DBC1150"/>
    <w:rsid w:val="7DFBDE13"/>
    <w:rsid w:val="7DFD48E1"/>
    <w:rsid w:val="7E306B8A"/>
    <w:rsid w:val="7EDE09C3"/>
    <w:rsid w:val="7EF7CE3B"/>
    <w:rsid w:val="7F7BEC12"/>
    <w:rsid w:val="7FDFA715"/>
    <w:rsid w:val="7FF00D60"/>
    <w:rsid w:val="7FFF8E8A"/>
    <w:rsid w:val="87F71FA2"/>
    <w:rsid w:val="8FEF6BF7"/>
    <w:rsid w:val="975EA1D6"/>
    <w:rsid w:val="9FD73673"/>
    <w:rsid w:val="9FFB0989"/>
    <w:rsid w:val="A767D750"/>
    <w:rsid w:val="AFB722FA"/>
    <w:rsid w:val="B5FDBC28"/>
    <w:rsid w:val="BBFBCEE1"/>
    <w:rsid w:val="BDDED19E"/>
    <w:rsid w:val="BF3FA651"/>
    <w:rsid w:val="BF73C7CC"/>
    <w:rsid w:val="BFA7D8EA"/>
    <w:rsid w:val="BFF32782"/>
    <w:rsid w:val="CDB55B89"/>
    <w:rsid w:val="D1B70FA9"/>
    <w:rsid w:val="D6DD7621"/>
    <w:rsid w:val="D7E30953"/>
    <w:rsid w:val="DFAEDF6A"/>
    <w:rsid w:val="DFAF4DCB"/>
    <w:rsid w:val="E6F71C14"/>
    <w:rsid w:val="EFE721D9"/>
    <w:rsid w:val="F26F70D2"/>
    <w:rsid w:val="F3E347F3"/>
    <w:rsid w:val="F5BE1F97"/>
    <w:rsid w:val="F7F54837"/>
    <w:rsid w:val="FBF29A82"/>
    <w:rsid w:val="FBFE0EF8"/>
    <w:rsid w:val="FDFBA953"/>
    <w:rsid w:val="FEDFC2DE"/>
    <w:rsid w:val="FF671B1D"/>
    <w:rsid w:val="FFB5E72D"/>
    <w:rsid w:val="FFDE7C20"/>
    <w:rsid w:val="FFFB57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99"/>
    <w:pPr>
      <w:ind w:firstLine="420"/>
    </w:pPr>
    <w:rPr>
      <w:rFonts w:ascii="宋体" w:hAnsi="Courier New"/>
      <w:kern w:val="0"/>
      <w:sz w:val="20"/>
      <w:szCs w:val="20"/>
    </w:rPr>
  </w:style>
  <w:style w:type="paragraph" w:styleId="3">
    <w:name w:val="Body Text"/>
    <w:basedOn w:val="1"/>
    <w:qFormat/>
    <w:uiPriority w:val="0"/>
    <w:rPr>
      <w:rFonts w:eastAsia="文星仿宋"/>
      <w:sz w:val="32"/>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bCs/>
    </w:rPr>
  </w:style>
  <w:style w:type="paragraph" w:customStyle="1" w:styleId="11">
    <w:name w:val="p0"/>
    <w:basedOn w:val="1"/>
    <w:qFormat/>
    <w:uiPriority w:val="0"/>
    <w:pPr>
      <w:widowControl/>
    </w:pPr>
    <w:rPr>
      <w:kern w:val="0"/>
      <w:szCs w:val="21"/>
    </w:rPr>
  </w:style>
  <w:style w:type="paragraph" w:customStyle="1" w:styleId="12">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1033</Words>
  <Characters>1070</Characters>
  <Lines>0</Lines>
  <Paragraphs>0</Paragraphs>
  <TotalTime>1</TotalTime>
  <ScaleCrop>false</ScaleCrop>
  <LinksUpToDate>false</LinksUpToDate>
  <CharactersWithSpaces>1132</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2024-07-07T14:30:00Z</dcterms:created>
  <dc:creator>Zhao</dc:creator>
  <cp:lastModifiedBy>langchao</cp:lastModifiedBy>
  <cp:lastPrinted>2025-07-18T16:22:00Z</cp:lastPrinted>
  <dcterms:modified xsi:type="dcterms:W3CDTF">2026-07-06T16:37:32Z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9E5AC2A0D2B21A63E4684B6A30DC296C_43</vt:lpwstr>
  </property>
  <property fmtid="{D5CDD505-2E9C-101B-9397-08002B2CF9AE}" pid="4" name="KSOTemplateDocerSaveRecord">
    <vt:lpwstr>eyJoZGlkIjoiMDRmZjcwNDA0Mjg1NjhkY2M3YTE4MjMwY2RlZDY0NjMiLCJ1c2VySWQiOiI2MzkwMDkzNDcifQ==</vt:lpwstr>
  </property>
</Properties>
</file>