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5921F">
      <w:pPr>
        <w:jc w:val="center"/>
        <w:rPr>
          <w:rFonts w:ascii="Times New Roman Regular" w:hAnsi="Times New Roman Regular" w:eastAsia="方正小标宋简体" w:cs="Times New Roman Regular"/>
          <w:sz w:val="44"/>
          <w:szCs w:val="44"/>
        </w:rPr>
      </w:pPr>
    </w:p>
    <w:p w14:paraId="16C2C574">
      <w:pPr>
        <w:jc w:val="center"/>
        <w:rPr>
          <w:rFonts w:ascii="Times New Roman Regular" w:hAnsi="Times New Roman Regular" w:eastAsia="方正小标宋简体" w:cs="Times New Roman Regular"/>
          <w:sz w:val="44"/>
          <w:szCs w:val="44"/>
        </w:rPr>
      </w:pPr>
    </w:p>
    <w:p w14:paraId="24F8ABA7">
      <w:pPr>
        <w:jc w:val="center"/>
        <w:rPr>
          <w:rFonts w:ascii="Times New Roman Regular" w:hAnsi="Times New Roman Regular" w:eastAsia="方正小标宋简体" w:cs="Times New Roman Regular"/>
          <w:sz w:val="44"/>
          <w:szCs w:val="44"/>
        </w:rPr>
      </w:pPr>
    </w:p>
    <w:p w14:paraId="6A2B3FF9">
      <w:pPr>
        <w:jc w:val="center"/>
        <w:rPr>
          <w:rFonts w:ascii="Times New Roman Regular" w:hAnsi="Times New Roman Regular" w:eastAsia="方正小标宋简体" w:cs="Times New Roman Regular"/>
          <w:sz w:val="44"/>
          <w:szCs w:val="44"/>
        </w:rPr>
      </w:pPr>
      <w:bookmarkStart w:id="80" w:name="_GoBack"/>
      <w:r>
        <w:rPr>
          <w:rFonts w:ascii="Times New Roman Regular" w:hAnsi="Times New Roman Regular" w:eastAsia="方正小标宋简体" w:cs="Times New Roman Regular"/>
          <w:sz w:val="44"/>
          <w:szCs w:val="44"/>
        </w:rPr>
        <w:t>天津市东丽区公共数据授权运营实施方案</w:t>
      </w:r>
      <w:bookmarkEnd w:id="80"/>
    </w:p>
    <w:p w14:paraId="18422906">
      <w:pPr>
        <w:jc w:val="center"/>
        <w:rPr>
          <w:rFonts w:ascii="Times New Roman Regular" w:hAnsi="Times New Roman Regular" w:eastAsia="方正小标宋简体" w:cs="Times New Roman Regular"/>
          <w:sz w:val="44"/>
          <w:szCs w:val="44"/>
        </w:rPr>
      </w:pPr>
      <w:r>
        <w:rPr>
          <w:rFonts w:ascii="Times New Roman Regular" w:hAnsi="Times New Roman Regular" w:eastAsia="方正小标宋简体" w:cs="Times New Roman Regular"/>
          <w:sz w:val="44"/>
          <w:szCs w:val="44"/>
        </w:rPr>
        <w:t>（初稿）</w:t>
      </w:r>
    </w:p>
    <w:p w14:paraId="3D2C7E6E">
      <w:pPr>
        <w:jc w:val="center"/>
        <w:rPr>
          <w:rFonts w:ascii="Times New Roman Regular" w:hAnsi="Times New Roman Regular" w:eastAsia="黑体" w:cs="Times New Roman Regular"/>
          <w:sz w:val="44"/>
          <w:szCs w:val="44"/>
        </w:rPr>
      </w:pPr>
    </w:p>
    <w:p w14:paraId="6EFB2517">
      <w:pPr>
        <w:rPr>
          <w:rFonts w:ascii="Times New Roman Regular" w:hAnsi="Times New Roman Regular" w:cs="Times New Roman Regular"/>
          <w:sz w:val="36"/>
          <w:szCs w:val="36"/>
        </w:rPr>
      </w:pPr>
    </w:p>
    <w:p w14:paraId="33CAC91C">
      <w:pPr>
        <w:rPr>
          <w:rFonts w:ascii="Times New Roman Regular" w:hAnsi="Times New Roman Regular" w:cs="Times New Roman Regular"/>
        </w:rPr>
      </w:pPr>
    </w:p>
    <w:p w14:paraId="0592046D">
      <w:pPr>
        <w:rPr>
          <w:rFonts w:ascii="Times New Roman Regular" w:hAnsi="Times New Roman Regular" w:cs="Times New Roman Regular"/>
        </w:rPr>
      </w:pPr>
    </w:p>
    <w:p w14:paraId="4DC0877D">
      <w:pPr>
        <w:rPr>
          <w:rFonts w:ascii="Times New Roman Regular" w:hAnsi="Times New Roman Regular" w:cs="Times New Roman Regular"/>
        </w:rPr>
      </w:pPr>
    </w:p>
    <w:p w14:paraId="6E1AA198">
      <w:pPr>
        <w:rPr>
          <w:rFonts w:ascii="Times New Roman Regular" w:hAnsi="Times New Roman Regular" w:cs="Times New Roman Regular"/>
        </w:rPr>
      </w:pPr>
    </w:p>
    <w:p w14:paraId="0EB64699">
      <w:pPr>
        <w:rPr>
          <w:rFonts w:ascii="Times New Roman Regular" w:hAnsi="Times New Roman Regular" w:cs="Times New Roman Regular"/>
        </w:rPr>
      </w:pPr>
    </w:p>
    <w:p w14:paraId="01BF1129">
      <w:pPr>
        <w:rPr>
          <w:rFonts w:ascii="Times New Roman Regular" w:hAnsi="Times New Roman Regular" w:cs="Times New Roman Regular"/>
        </w:rPr>
      </w:pPr>
    </w:p>
    <w:p w14:paraId="1A020081">
      <w:pPr>
        <w:rPr>
          <w:rFonts w:ascii="Times New Roman Regular" w:hAnsi="Times New Roman Regular" w:cs="Times New Roman Regular"/>
        </w:rPr>
      </w:pPr>
    </w:p>
    <w:p w14:paraId="71DC2779">
      <w:pPr>
        <w:pStyle w:val="4"/>
        <w:rPr>
          <w:rFonts w:ascii="Times New Roman Regular" w:hAnsi="Times New Roman Regular" w:cs="Times New Roman Regular"/>
        </w:rPr>
      </w:pPr>
    </w:p>
    <w:p w14:paraId="7C461B87">
      <w:pPr>
        <w:pStyle w:val="5"/>
        <w:rPr>
          <w:rFonts w:ascii="Times New Roman Regular" w:hAnsi="Times New Roman Regular" w:cs="Times New Roman Regular"/>
        </w:rPr>
      </w:pPr>
    </w:p>
    <w:p w14:paraId="2EB6591D">
      <w:pPr>
        <w:pStyle w:val="6"/>
        <w:rPr>
          <w:rFonts w:ascii="Times New Roman Regular" w:hAnsi="Times New Roman Regular" w:cs="Times New Roman Regular"/>
        </w:rPr>
      </w:pPr>
    </w:p>
    <w:p w14:paraId="156B60BE">
      <w:pPr>
        <w:pStyle w:val="6"/>
        <w:rPr>
          <w:rFonts w:ascii="Times New Roman Regular" w:hAnsi="Times New Roman Regular" w:cs="Times New Roman Regular"/>
        </w:rPr>
      </w:pPr>
    </w:p>
    <w:p w14:paraId="35C52913">
      <w:pPr>
        <w:pStyle w:val="6"/>
        <w:rPr>
          <w:rFonts w:ascii="Times New Roman Regular" w:hAnsi="Times New Roman Regular" w:cs="Times New Roman Regular"/>
        </w:rPr>
      </w:pPr>
    </w:p>
    <w:p w14:paraId="07A672B7">
      <w:pPr>
        <w:pStyle w:val="5"/>
        <w:rPr>
          <w:rFonts w:ascii="Times New Roman Regular" w:hAnsi="Times New Roman Regular" w:cs="Times New Roman Regular"/>
        </w:rPr>
      </w:pPr>
    </w:p>
    <w:p w14:paraId="20879D85">
      <w:pPr>
        <w:pStyle w:val="6"/>
        <w:rPr>
          <w:rFonts w:ascii="Times New Roman Regular" w:hAnsi="Times New Roman Regular" w:cs="Times New Roman Regular"/>
        </w:rPr>
      </w:pPr>
    </w:p>
    <w:p w14:paraId="59DA0797">
      <w:pPr>
        <w:rPr>
          <w:rFonts w:ascii="Times New Roman Regular" w:hAnsi="Times New Roman Regular" w:cs="Times New Roman Regular"/>
        </w:rPr>
      </w:pPr>
    </w:p>
    <w:p w14:paraId="1C621B93">
      <w:pPr>
        <w:rPr>
          <w:rFonts w:ascii="Times New Roman Regular" w:hAnsi="Times New Roman Regular" w:cs="Times New Roman Regular"/>
        </w:rPr>
      </w:pPr>
    </w:p>
    <w:p w14:paraId="7AC8A992">
      <w:pPr>
        <w:jc w:val="center"/>
        <w:rPr>
          <w:rFonts w:ascii="Times New Roman Regular" w:hAnsi="Times New Roman Regular" w:eastAsia="楷体_GB2312" w:cs="Times New Roman Regular"/>
          <w:bCs/>
          <w:kern w:val="44"/>
          <w:sz w:val="32"/>
          <w:szCs w:val="32"/>
        </w:rPr>
      </w:pPr>
      <w:r>
        <w:rPr>
          <w:rFonts w:ascii="Times New Roman Regular" w:hAnsi="Times New Roman Regular" w:eastAsia="楷体_GB2312" w:cs="Times New Roman Regular"/>
          <w:bCs/>
          <w:kern w:val="44"/>
          <w:sz w:val="32"/>
          <w:szCs w:val="32"/>
        </w:rPr>
        <w:t>天津市东丽区数据局</w:t>
      </w:r>
    </w:p>
    <w:p w14:paraId="34338D3D">
      <w:pPr>
        <w:jc w:val="center"/>
        <w:rPr>
          <w:rFonts w:ascii="Times New Roman Regular" w:hAnsi="Times New Roman Regular" w:cs="Times New Roman Regular"/>
        </w:rPr>
        <w:sectPr>
          <w:footerReference r:id="rId3" w:type="default"/>
          <w:pgSz w:w="11906" w:h="16838"/>
          <w:pgMar w:top="2098" w:right="1474" w:bottom="1984" w:left="1587" w:header="765" w:footer="1587" w:gutter="0"/>
          <w:pgNumType w:fmt="decimal" w:start="1"/>
          <w:cols w:space="0" w:num="1"/>
          <w:docGrid w:type="lines" w:linePitch="318" w:charSpace="0"/>
        </w:sectPr>
      </w:pPr>
      <w:r>
        <w:rPr>
          <w:rFonts w:ascii="Times New Roman Regular" w:hAnsi="Times New Roman Regular" w:eastAsia="楷体_GB2312" w:cs="Times New Roman Regular"/>
          <w:bCs/>
          <w:kern w:val="44"/>
          <w:sz w:val="32"/>
          <w:szCs w:val="32"/>
        </w:rPr>
        <w:t>2026年</w:t>
      </w:r>
      <w:r>
        <w:rPr>
          <w:rFonts w:hint="eastAsia" w:ascii="Times New Roman Regular" w:hAnsi="Times New Roman Regular" w:eastAsia="楷体_GB2312" w:cs="Times New Roman Regular"/>
          <w:bCs/>
          <w:kern w:val="44"/>
          <w:sz w:val="32"/>
          <w:szCs w:val="32"/>
          <w:lang w:val="en-US" w:eastAsia="zh-CN"/>
        </w:rPr>
        <w:t>3</w:t>
      </w:r>
      <w:r>
        <w:rPr>
          <w:rFonts w:ascii="Times New Roman Regular" w:hAnsi="Times New Roman Regular" w:eastAsia="楷体_GB2312" w:cs="Times New Roman Regular"/>
          <w:bCs/>
          <w:kern w:val="44"/>
          <w:sz w:val="32"/>
          <w:szCs w:val="32"/>
        </w:rPr>
        <w:t>月</w:t>
      </w:r>
    </w:p>
    <w:p w14:paraId="38BE1DD3">
      <w:pPr>
        <w:pStyle w:val="12"/>
        <w:framePr w:wrap="auto" w:vAnchor="margin" w:hAnchor="text" w:yAlign="inline"/>
        <w:spacing w:before="240" w:after="240" w:line="400" w:lineRule="exact"/>
        <w:jc w:val="center"/>
        <w:rPr>
          <w:rFonts w:ascii="Times New Roman Regular" w:hAnsi="Times New Roman Regular" w:eastAsia="仿宋_GB2312" w:cs="Times New Roman Regular"/>
          <w:bCs/>
          <w:szCs w:val="32"/>
          <w:shd w:val="clear" w:color="auto" w:fill="FFFFFF"/>
        </w:rPr>
      </w:pPr>
      <w:r>
        <w:rPr>
          <w:rFonts w:hint="eastAsia" w:ascii="方正小标宋简体" w:hAnsi="方正小标宋简体" w:eastAsia="方正小标宋简体" w:cs="方正小标宋简体"/>
          <w:b/>
          <w:bCs/>
          <w:sz w:val="44"/>
          <w:szCs w:val="44"/>
          <w:shd w:val="clear" w:color="auto" w:fill="FFFFFF"/>
        </w:rPr>
        <w:t>目 录</w:t>
      </w:r>
      <w:r>
        <w:rPr>
          <w:rFonts w:ascii="Times New Roman Regular" w:hAnsi="Times New Roman Regular" w:eastAsia="仿宋_GB2312" w:cs="Times New Roman Regular"/>
          <w:bCs/>
          <w:szCs w:val="32"/>
          <w:shd w:val="clear" w:color="auto" w:fill="FFFFFF"/>
        </w:rPr>
        <w:fldChar w:fldCharType="begin"/>
      </w:r>
      <w:r>
        <w:rPr>
          <w:rFonts w:ascii="Times New Roman Regular" w:hAnsi="Times New Roman Regular" w:eastAsia="仿宋_GB2312" w:cs="Times New Roman Regular"/>
          <w:bCs/>
          <w:szCs w:val="32"/>
          <w:shd w:val="clear" w:color="auto" w:fill="FFFFFF"/>
        </w:rPr>
        <w:instrText xml:space="preserve">TOC \o "1-2" \h \u </w:instrText>
      </w:r>
      <w:r>
        <w:rPr>
          <w:rFonts w:ascii="Times New Roman Regular" w:hAnsi="Times New Roman Regular" w:eastAsia="仿宋_GB2312" w:cs="Times New Roman Regular"/>
          <w:bCs/>
          <w:szCs w:val="32"/>
          <w:shd w:val="clear" w:color="auto" w:fill="FFFFFF"/>
        </w:rPr>
        <w:fldChar w:fldCharType="separate"/>
      </w:r>
    </w:p>
    <w:p w14:paraId="708AF81F">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"_Toc12233"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一、总则</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_Toc12233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3</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1E5DC09D">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"_Toc2937"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28"/>
          <w:szCs w:val="44"/>
          <w:shd w:val="clear" w:color="auto" w:fill="FFFFFF"/>
        </w:rPr>
        <w:t>二、授权运营名称</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_Toc2937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3</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0DB30A8D">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"_Toc13616"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三、授权运营必要性与可行性</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_Toc13616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4</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28A86996">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"_Toc1954"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楷体_GB2312" w:cs="Times New Roman Regular"/>
          <w:sz w:val="32"/>
          <w:szCs w:val="32"/>
          <w:shd w:val="clear" w:color="auto" w:fill="FFFFFF"/>
        </w:rPr>
        <w:t>（一）必要性分析</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_Toc1954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4</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5FE77954">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"_Toc20410"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楷体_GB2312" w:cs="Times New Roman Regular"/>
          <w:sz w:val="32"/>
          <w:szCs w:val="32"/>
          <w:shd w:val="clear" w:color="auto" w:fill="FFFFFF"/>
        </w:rPr>
        <w:t>（二）可行性分析</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_Toc20410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4</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4E26838D">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"_Toc28312"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四、运营机构条件要求</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_Toc28312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5</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3691919D">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"_Toc19520"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五、授权运营模式</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_Toc19520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6</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098C0244">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"_Toc25965"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（一）分领域授权模式</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_Toc25965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6</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5B3F9017">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"_Toc8359"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（二）授权范围及适用边界</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_Toc8359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7</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3087B4B3">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"_Toc17195"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（三）授权协议签订与管理</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_Toc17195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7</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612BF18B">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"_Toc26039"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（四）运营组织机制与责任分工</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_Toc26039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8</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6DDE5C60">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"_Toc2998"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六、授权运营数据资源</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_Toc2998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8</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068ACAE3">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"_Toc11526"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（一）数据资源范围概述</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_Toc11526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8</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15960B42">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"_Toc6818"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（二）数据资源目录及分类</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_Toc6818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9</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383A9D92">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"_Toc31449"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（三）数据质量和更新维护</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_Toc31449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9</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3BBBC587">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"_Toc17916"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（四）数据筛选和授权清单</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_Toc17916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10</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2D959D91">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"_Toc11369"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七、授权运营实施机制</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_Toc11369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10</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5FCA8F21">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"_Toc16405"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（一）授权运营期限</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_Toc16405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10</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78E1BB74">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"_Toc5356"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（二）建设内容</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_Toc5356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10</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06E14283">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"_Toc30917"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（三）技术保障措施</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_Toc30917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12</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0AC14853">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"_Toc12370"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（四）实施进度安排</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_Toc12370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13</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34005C7D">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"_Toc461"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（五）评价标准</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_Toc461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13</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0CE8F411">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"_Toc163"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（六）退出机制</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_Toc163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13</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5FE7DCAE">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"_Toc22333"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（七）资产和资金管理</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_Toc22333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14</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5D09FB5E">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"_Toc4937"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（八）容错机制</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_Toc4937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14</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62FD1E29">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"_Toc13318"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八、公共数据产品与服务</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_Toc13318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15</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237B0302">
      <w:pPr>
        <w:pStyle w:val="9"/>
        <w:tabs>
          <w:tab w:val="right" w:leader="dot" w:pos="8844"/>
        </w:tabs>
        <w:spacing w:line="440" w:lineRule="exact"/>
        <w:rPr>
          <w:rFonts w:ascii="Times New Roman Regular" w:hAnsi="Times New Roman Regular" w:eastAsia="仿宋_GB2312" w:cs="Times New Roman Regular"/>
          <w:sz w:val="28"/>
          <w:szCs w:val="36"/>
        </w:rPr>
        <w:sectPr>
          <w:footerReference r:id="rId4" w:type="default"/>
          <w:pgSz w:w="11906" w:h="16838"/>
          <w:pgMar w:top="2098" w:right="1474" w:bottom="1985" w:left="1588" w:header="765" w:footer="1588" w:gutter="0"/>
          <w:pgNumType w:fmt="decimal" w:start="1"/>
          <w:cols w:space="0" w:num="1"/>
          <w:docGrid w:type="lines" w:linePitch="318" w:charSpace="0"/>
        </w:sectPr>
      </w:pPr>
    </w:p>
    <w:p w14:paraId="412F1DB9">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"_Toc21981"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（一）公共治理和公益事业类</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_Toc21981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15</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47940C50">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"_Toc7201"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（二）产业发展和行业应用类</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_Toc7201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16</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15A92531">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"_Toc24109"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（三）产品与服务动态管理</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_Toc24109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18</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15049142">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"_Toc20723"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九、经营核算与收益分配机制</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_Toc20723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18</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6B455D40">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"_Toc10128"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（一）经营核算机制</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_Toc10128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18</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5F175D01">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"_Toc18907"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（二）收益分配机制</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_Toc18907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19</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1E57D9D7">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"_Toc6088"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十、数据安全与应急处置</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_Toc6088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19</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2B4CC4DB">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"_Toc23043"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（一）数据安全管理措施</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_Toc23043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20</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3B28BE6E">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"_Toc28671"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（二）应急处置预案</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_Toc28671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21</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251E56A2">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"_Toc13807"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十一、各参与方权利义务</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_Toc13807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21</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17EE4212">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"_Toc12965"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（一）实施机构</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_Toc12965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22</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2A696F60">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"_Toc24163"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（二）数据持有方</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_Toc24163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22</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29E2909D">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"_Toc3380"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（三）运营机构</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_Toc3380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23</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73D2AF99">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"_Toc25493"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（四）财政部门</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_Toc25493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24</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74A7753E">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"_Toc3366"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（五）国资部门</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_Toc3366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24</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5749C4AE">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"_Toc19140"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（六）发展改革部门</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_Toc19140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25</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440B3C79">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"_Toc25002"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十二、监督管理与考核评价</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_Toc25002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25</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7E1BD20F">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"_Toc29095"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（一）监督管理机制</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_Toc29095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25</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0C567D11">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"_Toc14289"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（二）考核评价制度</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_Toc14289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26</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6D08B324">
      <w:pPr>
        <w:pStyle w:val="8"/>
        <w:tabs>
          <w:tab w:val="right" w:leader="dot" w:pos="8844"/>
          <w:tab w:val="clear" w:pos="15388"/>
        </w:tabs>
        <w:spacing w:line="440" w:lineRule="exact"/>
        <w:rPr>
          <w:rFonts w:ascii="Times New Roman Regular" w:hAnsi="Times New Roman Regular" w:eastAsia="仿宋_GB2312" w:cs="Times New Roman Regular"/>
          <w:sz w:val="28"/>
          <w:szCs w:val="36"/>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HYPERLINK \l "_Toc26206" </w:instrText>
      </w:r>
      <w:r>
        <w:rPr>
          <w:rFonts w:ascii="Times New Roman Regular" w:hAnsi="Times New Roman Regular" w:eastAsia="宋体" w:cs="Times New Roman Regular"/>
          <w:sz w:val="21"/>
          <w:szCs w:val="24"/>
        </w:rPr>
        <w:fldChar w:fldCharType="separate"/>
      </w:r>
      <w:r>
        <w:rPr>
          <w:rFonts w:hint="eastAsia" w:ascii="Times New Roman Regular" w:hAnsi="Times New Roman Regular" w:eastAsia="黑体" w:cs="Times New Roman Regular"/>
          <w:sz w:val="32"/>
          <w:szCs w:val="32"/>
          <w:shd w:val="clear" w:color="auto" w:fill="FFFFFF"/>
        </w:rPr>
        <w:t>十三、附则</w:t>
      </w:r>
      <w:r>
        <w:rPr>
          <w:rFonts w:ascii="Times New Roman Regular" w:hAnsi="Times New Roman Regular" w:eastAsia="仿宋_GB2312" w:cs="Times New Roman Regular"/>
          <w:sz w:val="28"/>
          <w:szCs w:val="36"/>
        </w:rPr>
        <w:tab/>
      </w:r>
      <w:r>
        <w:rPr>
          <w:rFonts w:ascii="Times New Roman Regular" w:hAnsi="Times New Roman Regular" w:eastAsia="仿宋_GB2312" w:cs="Times New Roman Regular"/>
          <w:sz w:val="28"/>
          <w:szCs w:val="36"/>
        </w:rPr>
        <w:fldChar w:fldCharType="begin"/>
      </w:r>
      <w:r>
        <w:rPr>
          <w:rFonts w:ascii="Times New Roman Regular" w:hAnsi="Times New Roman Regular" w:eastAsia="仿宋_GB2312" w:cs="Times New Roman Regular"/>
          <w:sz w:val="28"/>
          <w:szCs w:val="36"/>
        </w:rPr>
        <w:instrText xml:space="preserve"> PAGEREF _Toc26206 \h </w:instrText>
      </w:r>
      <w:r>
        <w:rPr>
          <w:rFonts w:ascii="Times New Roman Regular" w:hAnsi="Times New Roman Regular" w:eastAsia="仿宋_GB2312" w:cs="Times New Roman Regular"/>
          <w:sz w:val="28"/>
          <w:szCs w:val="36"/>
        </w:rPr>
        <w:fldChar w:fldCharType="separate"/>
      </w:r>
      <w:r>
        <w:rPr>
          <w:rFonts w:ascii="Times New Roman Regular" w:hAnsi="Times New Roman Regular" w:eastAsia="仿宋_GB2312" w:cs="Times New Roman Regular"/>
          <w:sz w:val="28"/>
          <w:szCs w:val="36"/>
        </w:rPr>
        <w:t>26</w:t>
      </w:r>
      <w:r>
        <w:rPr>
          <w:rFonts w:ascii="Times New Roman Regular" w:hAnsi="Times New Roman Regular" w:eastAsia="仿宋_GB2312" w:cs="Times New Roman Regular"/>
          <w:sz w:val="28"/>
          <w:szCs w:val="36"/>
        </w:rPr>
        <w:fldChar w:fldCharType="end"/>
      </w:r>
      <w:r>
        <w:rPr>
          <w:rFonts w:ascii="Times New Roman Regular" w:hAnsi="Times New Roman Regular" w:eastAsia="仿宋_GB2312" w:cs="Times New Roman Regular"/>
          <w:sz w:val="28"/>
          <w:szCs w:val="36"/>
        </w:rPr>
        <w:fldChar w:fldCharType="end"/>
      </w:r>
    </w:p>
    <w:p w14:paraId="01CD4E3D">
      <w:pPr>
        <w:pStyle w:val="9"/>
        <w:tabs>
          <w:tab w:val="right" w:leader="dot" w:pos="8844"/>
        </w:tabs>
        <w:spacing w:line="440" w:lineRule="exact"/>
        <w:rPr>
          <w:rFonts w:ascii="Times New Roman Regular" w:hAnsi="Times New Roman Regular" w:eastAsia="楷体_GB2312" w:cs="Times New Roman Regular"/>
          <w:sz w:val="32"/>
          <w:szCs w:val="32"/>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"_Toc27978"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（一）方案管理与解释</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_Toc27978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26</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3C3F2BD7">
      <w:pPr>
        <w:pStyle w:val="9"/>
        <w:tabs>
          <w:tab w:val="right" w:leader="dot" w:pos="8844"/>
        </w:tabs>
        <w:spacing w:line="440" w:lineRule="exact"/>
        <w:rPr>
          <w:rFonts w:ascii="Times New Roman Regular" w:hAnsi="Times New Roman Regular" w:eastAsia="仿宋_GB2312" w:cs="Times New Roman Regular"/>
          <w:sz w:val="28"/>
          <w:szCs w:val="36"/>
        </w:rPr>
      </w:pP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HYPERLINK \l "_Toc8126" </w:instrText>
      </w:r>
      <w:r>
        <w:rPr>
          <w:rFonts w:ascii="Times New Roman Regular" w:hAnsi="Times New Roman Regular" w:eastAsia="楷体_GB2312" w:cs="Times New Roman Regular"/>
          <w:sz w:val="32"/>
          <w:szCs w:val="32"/>
        </w:rPr>
        <w:fldChar w:fldCharType="separate"/>
      </w:r>
      <w:r>
        <w:rPr>
          <w:rFonts w:hint="eastAsia" w:ascii="Times New Roman Regular" w:hAnsi="Times New Roman Regular" w:eastAsia="楷体_GB2312" w:cs="Times New Roman Regular"/>
          <w:sz w:val="32"/>
          <w:szCs w:val="32"/>
          <w:shd w:val="clear" w:color="auto" w:fill="FFFFFF"/>
        </w:rPr>
        <w:t>（二）生效与施行</w:t>
      </w:r>
      <w:r>
        <w:rPr>
          <w:rFonts w:ascii="Times New Roman Regular" w:hAnsi="Times New Roman Regular" w:eastAsia="楷体_GB2312" w:cs="Times New Roman Regular"/>
          <w:sz w:val="32"/>
          <w:szCs w:val="32"/>
        </w:rPr>
        <w:tab/>
      </w:r>
      <w:r>
        <w:rPr>
          <w:rFonts w:ascii="Times New Roman Regular" w:hAnsi="Times New Roman Regular" w:eastAsia="楷体_GB2312" w:cs="Times New Roman Regular"/>
          <w:sz w:val="32"/>
          <w:szCs w:val="32"/>
        </w:rPr>
        <w:fldChar w:fldCharType="begin"/>
      </w:r>
      <w:r>
        <w:rPr>
          <w:rFonts w:ascii="Times New Roman Regular" w:hAnsi="Times New Roman Regular" w:eastAsia="楷体_GB2312" w:cs="Times New Roman Regular"/>
          <w:sz w:val="32"/>
          <w:szCs w:val="32"/>
        </w:rPr>
        <w:instrText xml:space="preserve"> PAGEREF _Toc8126 \h </w:instrText>
      </w:r>
      <w:r>
        <w:rPr>
          <w:rFonts w:ascii="Times New Roman Regular" w:hAnsi="Times New Roman Regular" w:eastAsia="楷体_GB2312" w:cs="Times New Roman Regular"/>
          <w:sz w:val="32"/>
          <w:szCs w:val="32"/>
        </w:rPr>
        <w:fldChar w:fldCharType="separate"/>
      </w:r>
      <w:r>
        <w:rPr>
          <w:rFonts w:ascii="Times New Roman Regular" w:hAnsi="Times New Roman Regular" w:eastAsia="楷体_GB2312" w:cs="Times New Roman Regular"/>
          <w:sz w:val="32"/>
          <w:szCs w:val="32"/>
        </w:rPr>
        <w:t>27</w:t>
      </w:r>
      <w:r>
        <w:rPr>
          <w:rFonts w:ascii="Times New Roman Regular" w:hAnsi="Times New Roman Regular" w:eastAsia="楷体_GB2312" w:cs="Times New Roman Regular"/>
          <w:sz w:val="32"/>
          <w:szCs w:val="32"/>
        </w:rPr>
        <w:fldChar w:fldCharType="end"/>
      </w:r>
      <w:r>
        <w:rPr>
          <w:rFonts w:ascii="Times New Roman Regular" w:hAnsi="Times New Roman Regular" w:eastAsia="楷体_GB2312" w:cs="Times New Roman Regular"/>
          <w:sz w:val="32"/>
          <w:szCs w:val="32"/>
        </w:rPr>
        <w:fldChar w:fldCharType="end"/>
      </w:r>
    </w:p>
    <w:p w14:paraId="5E819AFE">
      <w:pPr>
        <w:pStyle w:val="12"/>
        <w:framePr w:wrap="auto" w:vAnchor="margin" w:hAnchor="text" w:yAlign="inline"/>
        <w:spacing w:before="240" w:after="240" w:line="400" w:lineRule="exact"/>
        <w:jc w:val="center"/>
        <w:rPr>
          <w:rFonts w:ascii="Times New Roman Regular" w:hAnsi="Times New Roman Regular" w:eastAsia="仿宋_GB2312" w:cs="Times New Roman Regular"/>
          <w:bCs/>
          <w:szCs w:val="32"/>
          <w:shd w:val="clear" w:color="auto" w:fill="FFFFFF"/>
        </w:rPr>
        <w:sectPr>
          <w:footerReference r:id="rId5" w:type="default"/>
          <w:pgSz w:w="11906" w:h="16838"/>
          <w:pgMar w:top="2098" w:right="1474" w:bottom="1985" w:left="1588" w:header="765" w:footer="1588" w:gutter="0"/>
          <w:pgNumType w:fmt="decimal"/>
          <w:cols w:space="0" w:num="1"/>
          <w:docGrid w:type="lines" w:linePitch="318" w:charSpace="0"/>
        </w:sectPr>
      </w:pPr>
      <w:r>
        <w:rPr>
          <w:rFonts w:ascii="Times New Roman Regular" w:hAnsi="Times New Roman Regular" w:eastAsia="仿宋_GB2312" w:cs="Times New Roman Regular"/>
          <w:bCs/>
          <w:szCs w:val="32"/>
          <w:shd w:val="clear" w:color="auto" w:fill="FFFFFF"/>
        </w:rPr>
        <w:fldChar w:fldCharType="end"/>
      </w:r>
    </w:p>
    <w:p w14:paraId="2D23E27C">
      <w:pPr>
        <w:pStyle w:val="12"/>
        <w:framePr w:wrap="around" w:vAnchor="page" w:hAnchor="page" w:x="2006" w:y="2023"/>
        <w:jc w:val="center"/>
        <w:rPr>
          <w:rFonts w:ascii="Times New Roman Regular" w:hAnsi="Times New Roman Regular" w:eastAsia="方正小标宋简体" w:cs="Times New Roman Regular"/>
          <w:sz w:val="44"/>
          <w:szCs w:val="44"/>
        </w:rPr>
      </w:pPr>
      <w:r>
        <w:rPr>
          <w:rFonts w:ascii="Times New Roman Regular" w:hAnsi="Times New Roman Regular" w:eastAsia="方正小标宋简体" w:cs="Times New Roman Regular"/>
          <w:sz w:val="44"/>
          <w:szCs w:val="44"/>
        </w:rPr>
        <w:t>天津市东丽区公共数据授权运营实施方案</w:t>
      </w:r>
    </w:p>
    <w:p w14:paraId="54B46B37">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sz w:val="32"/>
          <w:szCs w:val="32"/>
          <w:shd w:val="clear" w:color="auto" w:fill="FFFFFF"/>
        </w:rPr>
      </w:pPr>
      <w:bookmarkStart w:id="0" w:name="_Toc12233"/>
      <w:r>
        <w:rPr>
          <w:rFonts w:ascii="Times New Roman Regular" w:hAnsi="Times New Roman Regular" w:eastAsia="黑体" w:cs="Times New Roman Regular"/>
          <w:b w:val="0"/>
          <w:bCs w:val="0"/>
          <w:sz w:val="32"/>
          <w:szCs w:val="32"/>
          <w:shd w:val="clear" w:color="auto" w:fill="FFFFFF"/>
        </w:rPr>
        <w:t>一、总则</w:t>
      </w:r>
      <w:bookmarkEnd w:id="0"/>
    </w:p>
    <w:p w14:paraId="2881F15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color w:val="auto"/>
          <w:sz w:val="32"/>
          <w:szCs w:val="32"/>
        </w:rPr>
      </w:pPr>
      <w:r>
        <w:rPr>
          <w:rFonts w:ascii="Times New Roman Regular" w:hAnsi="Times New Roman Regular" w:eastAsia="仿宋_GB2312" w:cs="Times New Roman Regular"/>
          <w:color w:val="auto"/>
          <w:sz w:val="32"/>
          <w:szCs w:val="32"/>
        </w:rPr>
        <w:t>为深入贯彻党中央、国务院关于数据要素市场化配置和公共数据开发利用的重要决策部署，落实《中共中央</w:t>
      </w:r>
      <w:r>
        <w:rPr>
          <w:rFonts w:hint="eastAsia" w:ascii="Times New Roman Regular" w:hAnsi="Times New Roman Regular" w:eastAsia="仿宋_GB2312" w:cs="Times New Roman Regular"/>
          <w:color w:val="auto"/>
          <w:sz w:val="32"/>
          <w:szCs w:val="32"/>
        </w:rPr>
        <w:t xml:space="preserve"> </w:t>
      </w:r>
      <w:r>
        <w:rPr>
          <w:rFonts w:ascii="Times New Roman Regular" w:hAnsi="Times New Roman Regular" w:eastAsia="仿宋_GB2312" w:cs="Times New Roman Regular"/>
          <w:color w:val="auto"/>
          <w:sz w:val="32"/>
          <w:szCs w:val="32"/>
        </w:rPr>
        <w:t>国务院关于构建数据基础制度更好发挥数据要素作用的意见》精神以及《中共中央办公厅</w:t>
      </w:r>
      <w:r>
        <w:rPr>
          <w:rFonts w:hint="eastAsia" w:ascii="Times New Roman Regular" w:hAnsi="Times New Roman Regular" w:eastAsia="仿宋_GB2312" w:cs="Times New Roman Regular"/>
          <w:color w:val="auto"/>
          <w:sz w:val="32"/>
          <w:szCs w:val="32"/>
        </w:rPr>
        <w:t xml:space="preserve"> </w:t>
      </w:r>
      <w:r>
        <w:rPr>
          <w:rFonts w:ascii="Times New Roman Regular" w:hAnsi="Times New Roman Regular" w:eastAsia="仿宋_GB2312" w:cs="Times New Roman Regular"/>
          <w:color w:val="auto"/>
          <w:sz w:val="32"/>
          <w:szCs w:val="32"/>
        </w:rPr>
        <w:t>国务院办公厅关于加快公共数据资源开发利用的意见》要求，积极对接《公共数据资源登记管理暂行办法》（发改数据规〔2025〕26号）《公共数据资源授权运营实施规范（试行）》（发改数据规〔2025〕27号）和《关于建立公共数据资源授权运营价格形成机制的通知》（发改价格〔2025〕65号）政策体系，衔接《天津市公共数据授权运营试点管理暂行办法》《天津市公共数据资源登记管理实施细则（试行）》《天津市公共数据资源开发利用安全管理办法（试行）》《天津市公共数据授权运营收益分配管理办法（试行）》等配套制度，结合</w:t>
      </w:r>
      <w:r>
        <w:rPr>
          <w:rFonts w:hint="eastAsia" w:ascii="Times New Roman Regular" w:hAnsi="Times New Roman Regular" w:eastAsia="仿宋_GB2312" w:cs="Times New Roman Regular"/>
          <w:color w:val="auto"/>
          <w:sz w:val="32"/>
          <w:szCs w:val="32"/>
        </w:rPr>
        <w:t>天津市和东丽区</w:t>
      </w:r>
      <w:r>
        <w:rPr>
          <w:rFonts w:ascii="Times New Roman Regular" w:hAnsi="Times New Roman Regular" w:eastAsia="仿宋_GB2312" w:cs="Times New Roman Regular"/>
          <w:color w:val="auto"/>
          <w:sz w:val="32"/>
          <w:szCs w:val="32"/>
        </w:rPr>
        <w:t>数字经济“十五五”规划</w:t>
      </w:r>
      <w:r>
        <w:rPr>
          <w:rFonts w:hint="eastAsia" w:ascii="Times New Roman Regular" w:hAnsi="Times New Roman Regular" w:eastAsia="仿宋_GB2312" w:cs="Times New Roman Regular"/>
          <w:color w:val="auto"/>
          <w:sz w:val="32"/>
          <w:szCs w:val="32"/>
        </w:rPr>
        <w:t>关于公共数据授权运营的相关工作要求，规范推进公共数据授权运营工作，推动东丽区深度参与天津市数字经济创新发展试验区建设，加快释放全区公共数据资源价值，制定本实施方案。</w:t>
      </w:r>
    </w:p>
    <w:p w14:paraId="1C14D167">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sz w:val="32"/>
          <w:szCs w:val="32"/>
          <w:shd w:val="clear" w:color="auto" w:fill="FFFFFF"/>
        </w:rPr>
      </w:pPr>
      <w:bookmarkStart w:id="1" w:name="_Toc2937"/>
      <w:r>
        <w:rPr>
          <w:rFonts w:ascii="Times New Roman Regular" w:hAnsi="Times New Roman Regular" w:eastAsia="黑体" w:cs="Times New Roman Regular"/>
          <w:b w:val="0"/>
          <w:bCs w:val="0"/>
          <w:sz w:val="32"/>
          <w:szCs w:val="32"/>
          <w:shd w:val="clear" w:color="auto" w:fill="FFFFFF"/>
        </w:rPr>
        <w:t>二、授权运营名称</w:t>
      </w:r>
      <w:bookmarkEnd w:id="1"/>
    </w:p>
    <w:p w14:paraId="65B22FB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授权运营名称应坚持规范、简明、清晰、可复用的要求，在名称表述上准确概括授权运营的关键要素，能够清晰指向项目所涉公共数据的来源边界与公共属性，并突出“授权运营”这一合规运行方式，便于在后续管理、应用推广和社会宣传中统一口径引用，同时可在分领域授权推进过程中结合不同领域授权范围的差异作必要调整。</w:t>
      </w:r>
    </w:p>
    <w:p w14:paraId="7FDE3EE5">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sz w:val="32"/>
          <w:szCs w:val="32"/>
          <w:shd w:val="clear" w:color="auto" w:fill="FFFFFF"/>
        </w:rPr>
      </w:pPr>
      <w:bookmarkStart w:id="2" w:name="_Toc13616"/>
      <w:r>
        <w:rPr>
          <w:rFonts w:ascii="Times New Roman Regular" w:hAnsi="Times New Roman Regular" w:eastAsia="黑体" w:cs="Times New Roman Regular"/>
          <w:b w:val="0"/>
          <w:bCs w:val="0"/>
          <w:sz w:val="32"/>
          <w:szCs w:val="32"/>
          <w:shd w:val="clear" w:color="auto" w:fill="FFFFFF"/>
        </w:rPr>
        <w:t>三、授权运营必要性与可行性</w:t>
      </w:r>
      <w:bookmarkEnd w:id="2"/>
    </w:p>
    <w:p w14:paraId="0C1FE436">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shd w:val="clear" w:color="auto" w:fill="FFFFFF"/>
        </w:rPr>
      </w:pPr>
      <w:bookmarkStart w:id="3" w:name="_Toc1954"/>
      <w:bookmarkStart w:id="4" w:name="OLE_LINK89"/>
      <w:r>
        <w:rPr>
          <w:rFonts w:ascii="Times New Roman Regular" w:hAnsi="Times New Roman Regular" w:eastAsia="楷体_GB2312" w:cs="Times New Roman Regular"/>
          <w:b w:val="0"/>
          <w:shd w:val="clear" w:color="auto" w:fill="FFFFFF"/>
        </w:rPr>
        <w:t>（一）必要性分析</w:t>
      </w:r>
      <w:bookmarkEnd w:id="3"/>
    </w:p>
    <w:bookmarkEnd w:id="4"/>
    <w:p w14:paraId="3E82996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规范开展公共数据资源授权运营，是贯彻落实党中央、国务院关于公共数据资源开发利用决策部署的具体举措，有利于在制度框架下明确授权条件、运营模式、运营期限、退出机制和安全责任，健全登记管理和价格形成等配套机制，依法维护公共利益。东丽区各部门在履职过程中积累了较为丰富的公共数据资源，但综合开发利用水平仍需提升，通过依法依规实施分领域授权运营，推动公共数据资源形成数据产品和数据服务，既能更好支撑政府治理和公共服务提质增效，也能面向产业发展和行业应用需求扩大合规供给，促进数据资源盘活利用和价值实现，形成合理收益，培育数据产业生态，更好服务招商引资和产业发展。同时，依托统一授权管理和全流程监督管理，防止资源沉积浪费和不当牟利，强化安全管理与风险防控，确保公共数据资源开发利用规范有序、安全可控。</w:t>
      </w:r>
    </w:p>
    <w:p w14:paraId="3343B738">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shd w:val="clear" w:color="auto" w:fill="FFFFFF"/>
        </w:rPr>
      </w:pPr>
      <w:bookmarkStart w:id="5" w:name="_Toc20410"/>
      <w:bookmarkStart w:id="6" w:name="OLE_LINK90"/>
      <w:r>
        <w:rPr>
          <w:rFonts w:ascii="Times New Roman Regular" w:hAnsi="Times New Roman Regular" w:eastAsia="楷体_GB2312" w:cs="Times New Roman Regular"/>
          <w:b w:val="0"/>
          <w:shd w:val="clear" w:color="auto" w:fill="FFFFFF"/>
        </w:rPr>
        <w:t>（二）可行性分析</w:t>
      </w:r>
      <w:bookmarkEnd w:id="5"/>
    </w:p>
    <w:bookmarkEnd w:id="6"/>
    <w:p w14:paraId="47D8BF0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color w:val="auto"/>
          <w:sz w:val="32"/>
          <w:szCs w:val="32"/>
        </w:rPr>
      </w:pPr>
      <w:r>
        <w:rPr>
          <w:rFonts w:ascii="Times New Roman Regular" w:hAnsi="Times New Roman Regular" w:eastAsia="仿宋_GB2312" w:cs="Times New Roman Regular"/>
          <w:color w:val="auto"/>
          <w:sz w:val="32"/>
          <w:szCs w:val="32"/>
        </w:rPr>
        <w:t>东丽区推进公共数据资源开发利用已具备一定工作基础，区级数据共享交换平台与各部门业务系统逐步对接，数据标准与元数据规范持续完善，能够支撑公共数据资源采集、汇聚、治理、共享、服务和退出处置等全生命周期管理要求。随着数字政府和智慧城市建设深入，政府部门、科研机构、公益组织、</w:t>
      </w:r>
      <w:r>
        <w:rPr>
          <w:rFonts w:hint="eastAsia" w:ascii="Times New Roman Regular" w:hAnsi="Times New Roman Regular" w:eastAsia="仿宋_GB2312" w:cs="Times New Roman Regular"/>
          <w:color w:val="auto"/>
          <w:sz w:val="32"/>
          <w:szCs w:val="32"/>
        </w:rPr>
        <w:t>经营</w:t>
      </w:r>
      <w:r>
        <w:rPr>
          <w:rFonts w:ascii="Times New Roman Regular" w:hAnsi="Times New Roman Regular" w:eastAsia="仿宋_GB2312" w:cs="Times New Roman Regular"/>
          <w:color w:val="auto"/>
          <w:sz w:val="32"/>
          <w:szCs w:val="32"/>
        </w:rPr>
        <w:t>主体和公众对公共数据资源开发利用的需求持续增长，相关应用场景明确。国家数据要素市场体系加快构建，公共数据资源市场化开发利用路径逐步清晰，具备通过数据产品和数据服务扩大合规供给、拓展服务对象和应用范围的条件。通过分领域授权运营，可以推动公共数据资源系统整合和质量提升，促进产品服务供给规范化，提升公共治理和公共服务效能，并形成可复制可推广的实践做法。依托国家和天津市相关制度要求，建立覆盖目录管理、授权审批、产品服务、交付使用、退出销毁归档等环节的制度约束，配套组织协同、技术防护、过程审计和应急处置机制，能够有效防范安全合规风险，具备实施条件。</w:t>
      </w:r>
    </w:p>
    <w:p w14:paraId="612547A8">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sz w:val="32"/>
          <w:szCs w:val="32"/>
          <w:shd w:val="clear" w:color="auto" w:fill="FFFFFF"/>
        </w:rPr>
      </w:pPr>
      <w:bookmarkStart w:id="7" w:name="_Toc28312"/>
      <w:r>
        <w:rPr>
          <w:rFonts w:ascii="Times New Roman Regular" w:hAnsi="Times New Roman Regular" w:eastAsia="黑体" w:cs="Times New Roman Regular"/>
          <w:b w:val="0"/>
          <w:bCs w:val="0"/>
          <w:sz w:val="32"/>
          <w:szCs w:val="32"/>
          <w:shd w:val="clear" w:color="auto" w:fill="FFFFFF"/>
        </w:rPr>
        <w:t>四、运营机构条件要求</w:t>
      </w:r>
      <w:bookmarkEnd w:id="7"/>
    </w:p>
    <w:p w14:paraId="6E3AE93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承担东丽区公共数据资源授权运营的运营机构，应当具备与其职责相适应的资金、管理、技术、服务和安全保障能力，并符合以下条件：</w:t>
      </w:r>
    </w:p>
    <w:p w14:paraId="6513015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（一）依法设立并有效存续，法人治理结构健全，内部管理制度完善，经营状况良好，信用记录良好，具备持续投入能力和风险承受能力。</w:t>
      </w:r>
    </w:p>
    <w:p w14:paraId="2527060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（二）具备公共数据资源治理开发和运营服务能力，能够支撑数据汇聚治理、产品服务形成、运营推广和持续服务保障等工作。</w:t>
      </w:r>
    </w:p>
    <w:p w14:paraId="651E0BF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（三）具备健全的数据安全管理体系和安全保障能力，落实数据分类分级、重要数据保护和个人信息保护等要求，系统建设和运维符合网络安全等级保护要求，近三年未发生网络安全、数据安全事件。</w:t>
      </w:r>
    </w:p>
    <w:p w14:paraId="4CBDADA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（四）熟悉并遵守公共数据管理、授权运营和开发利用相关法律法规及政策规定，能够依法依规开展授权运营活动并主动接受监督管理。</w:t>
      </w:r>
    </w:p>
    <w:p w14:paraId="23BC2FA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highlight w:val="yellow"/>
        </w:rPr>
      </w:pPr>
      <w:r>
        <w:rPr>
          <w:rFonts w:ascii="Times New Roman Regular" w:hAnsi="Times New Roman Regular" w:eastAsia="仿宋_GB2312" w:cs="Times New Roman Regular"/>
          <w:sz w:val="32"/>
          <w:szCs w:val="32"/>
        </w:rPr>
        <w:t>（五）具备对合作机构的管理能力，能够按照授权范围和协议约定规范组织实施，确保公共数据产品和服务公平提供、规范运行。</w:t>
      </w:r>
    </w:p>
    <w:p w14:paraId="057D95F5">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sz w:val="32"/>
          <w:szCs w:val="32"/>
          <w:shd w:val="clear" w:color="auto" w:fill="FFFFFF"/>
        </w:rPr>
      </w:pPr>
      <w:bookmarkStart w:id="8" w:name="_Toc19520"/>
      <w:bookmarkStart w:id="9" w:name="OLE_LINK91"/>
      <w:r>
        <w:rPr>
          <w:rFonts w:ascii="Times New Roman Regular" w:hAnsi="Times New Roman Regular" w:eastAsia="黑体" w:cs="Times New Roman Regular"/>
          <w:b w:val="0"/>
          <w:bCs w:val="0"/>
          <w:sz w:val="32"/>
          <w:szCs w:val="32"/>
          <w:shd w:val="clear" w:color="auto" w:fill="FFFFFF"/>
        </w:rPr>
        <w:t>五、授权运营模式</w:t>
      </w:r>
      <w:bookmarkEnd w:id="8"/>
    </w:p>
    <w:bookmarkEnd w:id="9"/>
    <w:p w14:paraId="3DEE7B85">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highlight w:val="yellow"/>
          <w:shd w:val="clear" w:color="auto" w:fill="FFFFFF"/>
        </w:rPr>
      </w:pPr>
      <w:bookmarkStart w:id="10" w:name="_Toc25965"/>
      <w:r>
        <w:rPr>
          <w:rFonts w:ascii="Times New Roman Regular" w:hAnsi="Times New Roman Regular" w:eastAsia="楷体_GB2312" w:cs="Times New Roman Regular"/>
          <w:b w:val="0"/>
          <w:color w:val="000000"/>
          <w:shd w:val="clear" w:color="auto" w:fill="FFFFFF"/>
        </w:rPr>
        <w:t>（一）分领域授权模式</w:t>
      </w:r>
      <w:bookmarkEnd w:id="10"/>
    </w:p>
    <w:p w14:paraId="01057AE8">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东丽区公共数据授权运营采用分领域授权模式。分领域授权是指结合公共数据资源管理要求和业务管理边界，按照领域划分授权范围，分领域明确数据资源目录、使用用途、服务对象、安全要求和退出安排，依法依规授权运营机构开展数据治理开发并面向市场公平提供数据产品和数据服务。授权运营不改变公共数据资源</w:t>
      </w:r>
      <w:r>
        <w:rPr>
          <w:rFonts w:hint="eastAsia" w:ascii="Times New Roman Regular" w:hAnsi="Times New Roman Regular" w:eastAsia="仿宋_GB2312" w:cs="Times New Roman Regular"/>
          <w:sz w:val="32"/>
          <w:szCs w:val="32"/>
        </w:rPr>
        <w:t>持有</w:t>
      </w:r>
      <w:r>
        <w:rPr>
          <w:rFonts w:ascii="Times New Roman Regular" w:hAnsi="Times New Roman Regular" w:eastAsia="仿宋_GB2312" w:cs="Times New Roman Regular"/>
          <w:sz w:val="32"/>
          <w:szCs w:val="32"/>
        </w:rPr>
        <w:t>权归属，运营机构仅在授权范围内开展约定用途的开发运营活动。</w:t>
      </w:r>
    </w:p>
    <w:p w14:paraId="4A48C4B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分领域授权实行清单化管理。各领域授权内容以数据资源目录为依据，授权范围、用途边界、产品服务清单及交付方式在协议中明确。运营机构应当严格按照授权范围和协议约定开展运营，不得超范围使用，不得擅自变更用途或扩大服务对象，不得向无权主体提供授权数据资源。涉及共享获得的外部数据用于授权运营的，应按规定征得数据提供单位同意。新增领域或调整授权事项的，按规定履行论证、审议和审批程序后实施。</w:t>
      </w:r>
    </w:p>
    <w:p w14:paraId="64B051D0">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11" w:name="_Toc8359"/>
      <w:bookmarkStart w:id="12" w:name="OLE_LINK92"/>
      <w:r>
        <w:rPr>
          <w:rFonts w:ascii="Times New Roman Regular" w:hAnsi="Times New Roman Regular" w:eastAsia="楷体_GB2312" w:cs="Times New Roman Regular"/>
          <w:b w:val="0"/>
          <w:color w:val="000000"/>
          <w:shd w:val="clear" w:color="auto" w:fill="FFFFFF"/>
        </w:rPr>
        <w:t>（二）授权范围及适用边界</w:t>
      </w:r>
      <w:bookmarkEnd w:id="11"/>
    </w:p>
    <w:p w14:paraId="5B3F84F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授权运营按领域确定授权范围和使用边界，依据应用目的将授权领域分为公共治理、公益服务类和产业发展、行业应用类，并实行差异化策略。公共治理、公益服务类在确保安全合法前提下实行有条件无偿使用，主要面向政府部门和公益机构，服务政务治理与公共服务提质增效。产业发展、行业应用类按照政府指导价实行市场化有偿服务，由运营机构在授权范围内提供数据产品和数据服务并收取公共数据运营服务费，用于补偿运营成本并实现合理收益。授权运营仅赋予运营机构在特定领域和约定用途下的开发运营权，公共数据资源持有权归属原数据提供单位不变。运营机构应严格遵守用途限制和服务对象边界，不得超范围使用或挪作他用；对违规行为，实施机构依法依约责令整改，情节严重的终止该领域授权运营，坚决守住数据安全和公共利益底线。</w:t>
      </w:r>
    </w:p>
    <w:bookmarkEnd w:id="12"/>
    <w:p w14:paraId="2EDD8B05">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13" w:name="_Toc17195"/>
      <w:bookmarkStart w:id="14" w:name="OLE_LINK93"/>
      <w:r>
        <w:rPr>
          <w:rFonts w:ascii="Times New Roman Regular" w:hAnsi="Times New Roman Regular" w:eastAsia="楷体_GB2312" w:cs="Times New Roman Regular"/>
          <w:b w:val="0"/>
          <w:color w:val="000000"/>
          <w:shd w:val="clear" w:color="auto" w:fill="FFFFFF"/>
        </w:rPr>
        <w:t>（三）授权协议签订与管理</w:t>
      </w:r>
      <w:bookmarkEnd w:id="13"/>
    </w:p>
    <w:p w14:paraId="042AFFA2">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实施机构与运营机构签订《公共数据资源授权运营协议》。协议坚持依法合规、平等协商、权责明晰，明确授权领域及数据范围、授权期限、数据使用规范、产品服务、收益分配、各方权利义务、数据安全责任、信息披露以及变更、终止等事项，确保条款完备、程序规范。分领域授权实行清单化管理，协议应逐领域列明数据清单、授权用途、使用条件和安全要求，并明确新增领域纳入、授权范围调整、缩减或终止的程序和条件，确保授权事项动态调整有据可依、风险可控。</w:t>
      </w:r>
    </w:p>
    <w:bookmarkEnd w:id="14"/>
    <w:p w14:paraId="009DA1E7">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15" w:name="_Toc26039"/>
      <w:bookmarkStart w:id="16" w:name="OLE_LINK94"/>
      <w:r>
        <w:rPr>
          <w:rFonts w:ascii="Times New Roman Regular" w:hAnsi="Times New Roman Regular" w:eastAsia="楷体_GB2312" w:cs="Times New Roman Regular"/>
          <w:b w:val="0"/>
          <w:color w:val="000000"/>
          <w:shd w:val="clear" w:color="auto" w:fill="FFFFFF"/>
        </w:rPr>
        <w:t>（四）运营组织机制与责任分工</w:t>
      </w:r>
      <w:bookmarkEnd w:id="15"/>
    </w:p>
    <w:p w14:paraId="3A58C94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在分领域授权框架下，实行政府指导、市场运作。实施机构负责统筹协调、监督管理和风险防控，运营机构在授权范围内开展数据治理开发和产品服务供给。实施机构牵头建立由数据持有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、运营机构及相关主管部门参加的联合工作机制，统筹</w:t>
      </w:r>
      <w:r>
        <w:rPr>
          <w:rFonts w:hint="eastAsia" w:ascii="Times New Roman Regular" w:hAnsi="Times New Roman Regular" w:eastAsia="仿宋_GB2312" w:cs="Times New Roman Regular"/>
          <w:sz w:val="32"/>
          <w:szCs w:val="32"/>
        </w:rPr>
        <w:t>数据业务</w:t>
      </w:r>
      <w:r>
        <w:rPr>
          <w:rFonts w:ascii="Times New Roman Regular" w:hAnsi="Times New Roman Regular" w:eastAsia="仿宋_GB2312" w:cs="Times New Roman Regular"/>
          <w:sz w:val="32"/>
          <w:szCs w:val="32"/>
        </w:rPr>
        <w:t>领域设置、授权事项管理、过程监督和成效评价。数据持有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负责本领域数据梳理、按需供给、日常更新和质量管理，配合做好公共服务类产品应用支撑。运营机构建立相应组织保障，统筹数据治理、技术支撑、运营服务和安全保障等工作，确保按期落实。建立定期会商与信息报告制度，对重大事项和风险隐患及时报告处置，必要时依法依约采取暂停、整改等措施。健全信息公开和社会监督机制，按规定公开授权运营有关信息，及时听取意见并改进优化。</w:t>
      </w:r>
    </w:p>
    <w:bookmarkEnd w:id="16"/>
    <w:p w14:paraId="7B2F5328">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sz w:val="32"/>
          <w:szCs w:val="32"/>
          <w:shd w:val="clear" w:color="auto" w:fill="FFFFFF"/>
        </w:rPr>
      </w:pPr>
      <w:bookmarkStart w:id="17" w:name="_Toc2998"/>
      <w:r>
        <w:rPr>
          <w:rFonts w:ascii="Times New Roman Regular" w:hAnsi="Times New Roman Regular" w:eastAsia="黑体" w:cs="Times New Roman Regular"/>
          <w:b w:val="0"/>
          <w:bCs w:val="0"/>
          <w:sz w:val="32"/>
          <w:szCs w:val="32"/>
          <w:shd w:val="clear" w:color="auto" w:fill="FFFFFF"/>
        </w:rPr>
        <w:t>六、授权运营数据资源</w:t>
      </w:r>
      <w:bookmarkEnd w:id="17"/>
    </w:p>
    <w:p w14:paraId="61961612">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18" w:name="_Toc11526"/>
      <w:bookmarkStart w:id="19" w:name="OLE_LINK95"/>
      <w:r>
        <w:rPr>
          <w:rFonts w:ascii="Times New Roman Regular" w:hAnsi="Times New Roman Regular" w:eastAsia="楷体_GB2312" w:cs="Times New Roman Regular"/>
          <w:b w:val="0"/>
          <w:color w:val="000000"/>
          <w:shd w:val="clear" w:color="auto" w:fill="FFFFFF"/>
        </w:rPr>
        <w:t>（一）数据资源范围概述</w:t>
      </w:r>
      <w:bookmarkEnd w:id="18"/>
    </w:p>
    <w:p w14:paraId="55D9AA2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授权运营的数据资源范围，是指东丽区行政区域内各级党政机关、事业单位以及依法承担公共管理和服务职能的组织在依法履职、提供公共服务过程中依法采集、产生或者获取，并经审核纳入授权运营范围的公共数据资源。纳入授权运营的数据应当依法履行信息公开、保密审查等程序，确保不危害国家安全、公共利益，不涉及国家秘密，不侵犯商业秘密和个人信息权益。数据资源主要包括政务服务、社会治理、经济发展、文化民生等领域相关数据。公共数据资源</w:t>
      </w:r>
      <w:r>
        <w:rPr>
          <w:rFonts w:hint="eastAsia" w:ascii="Times New Roman Regular" w:hAnsi="Times New Roman Regular" w:eastAsia="仿宋_GB2312" w:cs="Times New Roman Regular"/>
          <w:sz w:val="32"/>
          <w:szCs w:val="32"/>
        </w:rPr>
        <w:t>持有</w:t>
      </w:r>
      <w:r>
        <w:rPr>
          <w:rFonts w:ascii="Times New Roman Regular" w:hAnsi="Times New Roman Regular" w:eastAsia="仿宋_GB2312" w:cs="Times New Roman Regular"/>
          <w:sz w:val="32"/>
          <w:szCs w:val="32"/>
        </w:rPr>
        <w:t>权依法归属相应数据持有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，授权运营仅在协议约定范围内赋予运营机构开展数据治理开发和产品服务供给的权限，不改变权属关系，运营机构应尊重数据持有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合法权益，按照规定规范使用并注明来源。</w:t>
      </w:r>
    </w:p>
    <w:bookmarkEnd w:id="19"/>
    <w:p w14:paraId="1A614614">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20" w:name="_Toc6818"/>
      <w:bookmarkStart w:id="21" w:name="OLE_LINK96"/>
      <w:r>
        <w:rPr>
          <w:rFonts w:ascii="Times New Roman Regular" w:hAnsi="Times New Roman Regular" w:eastAsia="楷体_GB2312" w:cs="Times New Roman Regular"/>
          <w:b w:val="0"/>
          <w:color w:val="000000"/>
          <w:shd w:val="clear" w:color="auto" w:fill="FFFFFF"/>
        </w:rPr>
        <w:t>（二）数据资源目录及分类</w:t>
      </w:r>
      <w:bookmarkEnd w:id="20"/>
    </w:p>
    <w:p w14:paraId="20CA31A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纳入授权运营范围的公共数据资源实行目录管理，由实施机构</w:t>
      </w:r>
      <w:r>
        <w:rPr>
          <w:rFonts w:hint="eastAsia" w:ascii="Times New Roman Regular" w:hAnsi="Times New Roman Regular" w:eastAsia="仿宋_GB2312" w:cs="Times New Roman Regular"/>
          <w:sz w:val="32"/>
          <w:szCs w:val="32"/>
        </w:rPr>
        <w:t>会同数据持有方</w:t>
      </w:r>
      <w:r>
        <w:rPr>
          <w:rFonts w:ascii="Times New Roman Regular" w:hAnsi="Times New Roman Regular" w:eastAsia="仿宋_GB2312" w:cs="Times New Roman Regular"/>
          <w:sz w:val="32"/>
          <w:szCs w:val="32"/>
        </w:rPr>
        <w:t>编制统一的数据资源目录，并按数据类型、主题领域、提供单位、更新频率等要素进行分类分级，形成结构清晰、可查询可追溯的目录体系。目录编制遵循国家和天津市公共数据目录相关标准，衔接全市政务信息资源目录体系，落实一数一源要求。目录应载明数据资源唯一标识、名称、摘要、关键词、所属类别、提供单位、开放属性等必要元数据。数据资源目录通过东丽区数据共享交换平台等渠道动态发布，随数据新增、调整及时更新，确保目录信息准确完整。</w:t>
      </w:r>
    </w:p>
    <w:bookmarkEnd w:id="21"/>
    <w:p w14:paraId="07E08D79">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22" w:name="_Toc31449"/>
      <w:bookmarkStart w:id="23" w:name="OLE_LINK97"/>
      <w:r>
        <w:rPr>
          <w:rFonts w:ascii="Times New Roman Regular" w:hAnsi="Times New Roman Regular" w:eastAsia="楷体_GB2312" w:cs="Times New Roman Regular"/>
          <w:b w:val="0"/>
          <w:color w:val="000000"/>
          <w:shd w:val="clear" w:color="auto" w:fill="FFFFFF"/>
        </w:rPr>
        <w:t>（三）数据质量和更新维护</w:t>
      </w:r>
      <w:bookmarkEnd w:id="22"/>
    </w:p>
    <w:p w14:paraId="4CA00358">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纳入授权运营的数据资源应满足准确、完整、及时、规范等基本要求。针对不同部门数据标准不一致、元数据不完整、历史数据冗余重复、口径编码差异以及个人信息识别标注不充分等问题，运营机构应在接收数据后开展数据治理，重点做好标准化处理、清洗校验、元数据完善、分类编码、重复数据处置和敏感信息识别处理，推动落实一数一源。建立数据质量问题反馈与整改机制，运营过程中发现问题及时反馈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并推动源头改进，形成闭环提升。数据更新维护实行约定频率和台账管理，数据持有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按目录和协议要求提供更新数据，运营机构记录更新内容与时间并保持与源头同步，对不再适用或失效的产品服务及时调整或下架，实施机构对更新维护和质量提升情况进行监督管理，确保数据资源持续可用。</w:t>
      </w:r>
    </w:p>
    <w:bookmarkEnd w:id="23"/>
    <w:p w14:paraId="31AD1D23">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24" w:name="_Toc17916"/>
      <w:r>
        <w:rPr>
          <w:rFonts w:ascii="Times New Roman Regular" w:hAnsi="Times New Roman Regular" w:eastAsia="楷体_GB2312" w:cs="Times New Roman Regular"/>
          <w:b w:val="0"/>
          <w:color w:val="000000"/>
          <w:shd w:val="clear" w:color="auto" w:fill="FFFFFF"/>
        </w:rPr>
        <w:t>（四）数据筛选和授权清单</w:t>
      </w:r>
      <w:bookmarkEnd w:id="24"/>
    </w:p>
    <w:p w14:paraId="59439D3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实施机构会同各数据持有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根据本方案确定的范围和领域需求，从全区公共数据资源中筛选出首批纳入授权运营的数据清单。授权数据清单将作为授权协议的附件予以明确，包括具体数据项名称、提供单位、数据量、更新周期、数据级别等内容。授权清单将通过区级平台向社会公布主要内容，接受监督。在运营过程中，授权数据清单将实行动态管理机制：根据新增领域的需要，适时将新的数据资源纳入授权范围；对于发生重要变化或不再适宜授权的数据，经评估后从清单中调整移除。每次清单的调整均需履行报批程序并及时更新备案和公开信息，保证授权运营的数据范围透明、规范、可控。</w:t>
      </w:r>
    </w:p>
    <w:p w14:paraId="11F2DDC3">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color w:val="000000"/>
          <w:sz w:val="32"/>
          <w:shd w:val="clear" w:color="auto" w:fill="FFFFFF"/>
        </w:rPr>
      </w:pPr>
      <w:bookmarkStart w:id="25" w:name="_Toc11369"/>
      <w:r>
        <w:rPr>
          <w:rFonts w:ascii="Times New Roman Regular" w:hAnsi="Times New Roman Regular" w:eastAsia="黑体" w:cs="Times New Roman Regular"/>
          <w:b w:val="0"/>
          <w:bCs w:val="0"/>
          <w:color w:val="000000"/>
          <w:sz w:val="32"/>
          <w:shd w:val="clear" w:color="auto" w:fill="FFFFFF"/>
        </w:rPr>
        <w:t>七、授权运营实施机制</w:t>
      </w:r>
      <w:bookmarkEnd w:id="25"/>
    </w:p>
    <w:p w14:paraId="2D323DB6">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26" w:name="_Toc16405"/>
      <w:bookmarkStart w:id="27" w:name="OLE_LINK98"/>
      <w:r>
        <w:rPr>
          <w:rFonts w:ascii="Times New Roman Regular" w:hAnsi="Times New Roman Regular" w:eastAsia="楷体_GB2312" w:cs="Times New Roman Regular"/>
          <w:b w:val="0"/>
          <w:color w:val="000000"/>
          <w:shd w:val="clear" w:color="auto" w:fill="FFFFFF"/>
        </w:rPr>
        <w:t>（一）授权运营期限</w:t>
      </w:r>
      <w:bookmarkEnd w:id="26"/>
    </w:p>
    <w:p w14:paraId="7B76279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本次授权运营期限拟定为3年。授权期限自《公共数据资源授权运营协议》正式签订并完成数据交接之日起计算，至期满日终止。授权期内确需提前终止或者调整授权事项的，按照协议约定及退出机制执行。</w:t>
      </w:r>
    </w:p>
    <w:bookmarkEnd w:id="27"/>
    <w:p w14:paraId="7EDA8A39">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28" w:name="_Toc5356"/>
      <w:bookmarkStart w:id="29" w:name="OLE_LINK99"/>
      <w:r>
        <w:rPr>
          <w:rFonts w:ascii="Times New Roman Regular" w:hAnsi="Times New Roman Regular" w:eastAsia="楷体_GB2312" w:cs="Times New Roman Regular"/>
          <w:b w:val="0"/>
          <w:color w:val="000000"/>
          <w:shd w:val="clear" w:color="auto" w:fill="FFFFFF"/>
        </w:rPr>
        <w:t>（二）建设内容</w:t>
      </w:r>
      <w:bookmarkEnd w:id="28"/>
    </w:p>
    <w:p w14:paraId="20F5A4F8">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bookmarkStart w:id="30" w:name="OLE_LINK102"/>
      <w:r>
        <w:rPr>
          <w:rFonts w:ascii="Times New Roman Regular" w:hAnsi="Times New Roman Regular" w:eastAsia="仿宋_GB2312" w:cs="Times New Roman Regular"/>
          <w:sz w:val="32"/>
          <w:szCs w:val="32"/>
        </w:rPr>
        <w:t>围绕授权运营目标，主要建设内容如下。</w:t>
      </w:r>
    </w:p>
    <w:p w14:paraId="0AC6861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数据资源整合与治理</w:t>
      </w:r>
    </w:p>
    <w:p w14:paraId="7D135C4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开展存量公共数据资源梳理整合，实施数据汇聚治理和元数据</w:t>
      </w:r>
      <w:r>
        <w:rPr>
          <w:rFonts w:hint="eastAsia" w:ascii="Times New Roman Regular" w:hAnsi="Times New Roman Regular" w:eastAsia="仿宋_GB2312" w:cs="Times New Roman Regular"/>
          <w:sz w:val="32"/>
          <w:szCs w:val="32"/>
        </w:rPr>
        <w:t>保证</w:t>
      </w:r>
      <w:r>
        <w:rPr>
          <w:rFonts w:ascii="Times New Roman Regular" w:hAnsi="Times New Roman Regular" w:eastAsia="仿宋_GB2312" w:cs="Times New Roman Regular"/>
          <w:sz w:val="32"/>
          <w:szCs w:val="32"/>
        </w:rPr>
        <w:t>完善</w:t>
      </w:r>
      <w:r>
        <w:rPr>
          <w:rFonts w:hint="eastAsia" w:ascii="Times New Roman Regular" w:hAnsi="Times New Roman Regular" w:eastAsia="仿宋_GB2312" w:cs="Times New Roman Regular"/>
          <w:sz w:val="32"/>
          <w:szCs w:val="32"/>
        </w:rPr>
        <w:t>工作</w:t>
      </w:r>
      <w:r>
        <w:rPr>
          <w:rFonts w:ascii="Times New Roman Regular" w:hAnsi="Times New Roman Regular" w:eastAsia="仿宋_GB2312" w:cs="Times New Roman Regular"/>
          <w:sz w:val="32"/>
          <w:szCs w:val="32"/>
        </w:rPr>
        <w:t>。对涉及个人信息等敏感信息依法依规处理，对质量较低数据按规定修复、标注或备份管理，同步编制发布数据资源目录和首批授权数据清单。</w:t>
      </w:r>
    </w:p>
    <w:p w14:paraId="6AC7D88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数据运营体系建设</w:t>
      </w:r>
    </w:p>
    <w:p w14:paraId="0FCB5B1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依托既有平台完善运行环境和支撑能力，健全数据管理、接口服务和用户服务，落实身份认证、访问控制、日志审计和监测预警，确保按权限供给和全过程留痕。平台运行符合相关标准规范并与天津市有关平台衔接互通。</w:t>
      </w:r>
    </w:p>
    <w:p w14:paraId="077227F3">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 数据产品与服务供给</w:t>
      </w:r>
    </w:p>
    <w:p w14:paraId="4173374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围绕分领域需求开发数据产品和数据服务，建立研发流程和迭代机制，形成持续稳定的产品服务供给能力。</w:t>
      </w:r>
    </w:p>
    <w:p w14:paraId="7C1D23E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 推广应用与服务保障</w:t>
      </w:r>
    </w:p>
    <w:p w14:paraId="04F7C8E3">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完善用户管理和服务办理机制，开展应用对接与示范推广，加强与北方大数据交易中心等平台联动，依法依规扩大产品服务应用范围并提升服务成效。</w:t>
      </w:r>
    </w:p>
    <w:p w14:paraId="30E2702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 安全保障体系建设</w:t>
      </w:r>
    </w:p>
    <w:p w14:paraId="79F4564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建立覆盖数据全生命周期的安全管理体系，健全隔离防护、加密保护、审计留痕和应急处置措施，确保授权运营安全可控。</w:t>
      </w:r>
    </w:p>
    <w:p w14:paraId="2D9F267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6. 制度规范与信息公开</w:t>
      </w:r>
    </w:p>
    <w:p w14:paraId="4D940F2E">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健全分类分级、审批管理、目录变更、用户准入与处置、收益核算与分配、安全保密与应急等制度，动态完善并按规定开展信息公开，定期公开运营情况和收益分配情况，接受监督。</w:t>
      </w:r>
    </w:p>
    <w:bookmarkEnd w:id="29"/>
    <w:bookmarkEnd w:id="30"/>
    <w:p w14:paraId="44173107">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31" w:name="_Toc30917"/>
      <w:bookmarkStart w:id="32" w:name="OLE_LINK109"/>
      <w:r>
        <w:rPr>
          <w:rFonts w:ascii="Times New Roman Regular" w:hAnsi="Times New Roman Regular" w:eastAsia="楷体_GB2312" w:cs="Times New Roman Regular"/>
          <w:b w:val="0"/>
          <w:color w:val="000000"/>
          <w:shd w:val="clear" w:color="auto" w:fill="FFFFFF"/>
        </w:rPr>
        <w:t>（三）技术保障措施</w:t>
      </w:r>
      <w:bookmarkEnd w:id="31"/>
    </w:p>
    <w:p w14:paraId="48C0A0C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为保障授权运营有序实施，落实以下技术措施。</w:t>
      </w:r>
    </w:p>
    <w:p w14:paraId="20E5A85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全生命周期管理</w:t>
      </w:r>
    </w:p>
    <w:p w14:paraId="257829F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对数据资源及产品服务实行全流程管理，记录来源、变更和使用情况，确保可追溯可审计，对过期或失效的产品服务按规定及时下架和注销。</w:t>
      </w:r>
    </w:p>
    <w:p w14:paraId="0DED9A3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质量反馈与纠错</w:t>
      </w:r>
    </w:p>
    <w:p w14:paraId="6F428C3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建立用户反馈和纠错机制，及时核实更正并做好记录，推动质量问题闭环整改。</w:t>
      </w:r>
    </w:p>
    <w:p w14:paraId="67092DE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 隐私保护与安全供给</w:t>
      </w:r>
    </w:p>
    <w:p w14:paraId="663406A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对个人信息等敏感信息落实脱敏、匿名化、泛化等处理，必要时采用隐私保护计算方式，通过受控接口提供分析能力，原则上输出汇总统计、指标或模型结果，强化身份认证、权限管理和审计留痕。</w:t>
      </w:r>
    </w:p>
    <w:p w14:paraId="74F05D4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 溯源与权益保护</w:t>
      </w:r>
    </w:p>
    <w:p w14:paraId="44367AF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按需采用数字水印等手段强化溯源取证，对交付、调用和使用行为全程记录并防篡改保存，维护数据持有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合法权益。</w:t>
      </w:r>
    </w:p>
    <w:p w14:paraId="7918A61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 性能与灾备保障</w:t>
      </w:r>
    </w:p>
    <w:p w14:paraId="41A9391E">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采用分布式架构和弹性扩展机制提升性能与稳定性，定期开展性能与容量评估，健全备份和灾备体系，保障业务连续运行。</w:t>
      </w:r>
    </w:p>
    <w:bookmarkEnd w:id="32"/>
    <w:p w14:paraId="14010F8A">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33" w:name="_Toc12370"/>
      <w:bookmarkStart w:id="34" w:name="OLE_LINK110"/>
      <w:bookmarkStart w:id="35" w:name="OLE_LINK107"/>
      <w:r>
        <w:rPr>
          <w:rFonts w:ascii="Times New Roman Regular" w:hAnsi="Times New Roman Regular" w:eastAsia="楷体_GB2312" w:cs="Times New Roman Regular"/>
          <w:b w:val="0"/>
          <w:color w:val="000000"/>
          <w:shd w:val="clear" w:color="auto" w:fill="FFFFFF"/>
        </w:rPr>
        <w:t>（四）实施进度安排</w:t>
      </w:r>
      <w:bookmarkEnd w:id="33"/>
    </w:p>
    <w:p w14:paraId="07BDDA3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实行里程碑管理，分年度推进。</w:t>
      </w:r>
    </w:p>
    <w:p w14:paraId="1969CCA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体系奠基（</w:t>
      </w:r>
      <w:r>
        <w:rPr>
          <w:rFonts w:hint="eastAsia" w:ascii="Times New Roman Regular" w:hAnsi="Times New Roman Regular" w:eastAsia="仿宋_GB2312" w:cs="Times New Roman Regular"/>
          <w:sz w:val="32"/>
          <w:szCs w:val="32"/>
        </w:rPr>
        <w:t>第一</w:t>
      </w:r>
      <w:r>
        <w:rPr>
          <w:rFonts w:ascii="Times New Roman Regular" w:hAnsi="Times New Roman Regular" w:eastAsia="仿宋_GB2312" w:cs="Times New Roman Regular"/>
          <w:sz w:val="32"/>
          <w:szCs w:val="32"/>
        </w:rPr>
        <w:t>年）</w:t>
      </w:r>
    </w:p>
    <w:p w14:paraId="0ADCAD2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完成方案审议和协议签订，形成首批数据治理、登记赋码、目录清单和平台试运行成果，开展必要评估并完成阶段验收。</w:t>
      </w:r>
    </w:p>
    <w:p w14:paraId="4EEBC1D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color w:val="auto"/>
          <w:sz w:val="32"/>
          <w:szCs w:val="32"/>
        </w:rPr>
      </w:pPr>
      <w:r>
        <w:rPr>
          <w:rFonts w:ascii="Times New Roman Regular" w:hAnsi="Times New Roman Regular" w:eastAsia="仿宋_GB2312" w:cs="Times New Roman Regular"/>
          <w:sz w:val="32"/>
          <w:szCs w:val="32"/>
        </w:rPr>
        <w:t>2. 机制完善（</w:t>
      </w:r>
      <w:r>
        <w:rPr>
          <w:rFonts w:hint="eastAsia" w:ascii="Times New Roman Regular" w:hAnsi="Times New Roman Regular" w:eastAsia="仿宋_GB2312" w:cs="Times New Roman Regular"/>
          <w:sz w:val="32"/>
          <w:szCs w:val="32"/>
        </w:rPr>
        <w:t>第二</w:t>
      </w:r>
      <w:r>
        <w:rPr>
          <w:rFonts w:ascii="Times New Roman Regular" w:hAnsi="Times New Roman Regular" w:eastAsia="仿宋_GB2312" w:cs="Times New Roman Regular"/>
          <w:sz w:val="32"/>
          <w:szCs w:val="32"/>
        </w:rPr>
        <w:t>年）</w:t>
      </w:r>
    </w:p>
    <w:p w14:paraId="4578BEB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扩充数据与产品服务供给，完善制度和核算机制，组织评估并优化运营管理与推广应用。</w:t>
      </w:r>
    </w:p>
    <w:p w14:paraId="4439F36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color w:val="auto"/>
          <w:sz w:val="32"/>
          <w:szCs w:val="32"/>
        </w:rPr>
      </w:pPr>
      <w:r>
        <w:rPr>
          <w:rFonts w:ascii="Times New Roman Regular" w:hAnsi="Times New Roman Regular" w:eastAsia="仿宋_GB2312" w:cs="Times New Roman Regular"/>
          <w:sz w:val="32"/>
          <w:szCs w:val="32"/>
        </w:rPr>
        <w:t>3. 成果固化（</w:t>
      </w:r>
      <w:r>
        <w:rPr>
          <w:rFonts w:hint="eastAsia" w:ascii="Times New Roman Regular" w:hAnsi="Times New Roman Regular" w:eastAsia="仿宋_GB2312" w:cs="Times New Roman Regular"/>
          <w:sz w:val="32"/>
          <w:szCs w:val="32"/>
        </w:rPr>
        <w:t>第三</w:t>
      </w:r>
      <w:r>
        <w:rPr>
          <w:rFonts w:ascii="Times New Roman Regular" w:hAnsi="Times New Roman Regular" w:eastAsia="仿宋_GB2312" w:cs="Times New Roman Regular"/>
          <w:sz w:val="32"/>
          <w:szCs w:val="32"/>
        </w:rPr>
        <w:t>年）</w:t>
      </w:r>
    </w:p>
    <w:p w14:paraId="7E3BD71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开展综合绩效评估，提出续期、调整或退出安排，按程序完成续期衔接或期满退出，形成制度化成果。</w:t>
      </w:r>
      <w:bookmarkEnd w:id="34"/>
    </w:p>
    <w:bookmarkEnd w:id="35"/>
    <w:p w14:paraId="58B66B6F">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36" w:name="_Toc461"/>
      <w:bookmarkStart w:id="37" w:name="OLE_LINK108"/>
      <w:bookmarkStart w:id="38" w:name="OLE_LINK111"/>
      <w:r>
        <w:rPr>
          <w:rFonts w:ascii="Times New Roman Regular" w:hAnsi="Times New Roman Regular" w:eastAsia="楷体_GB2312" w:cs="Times New Roman Regular"/>
          <w:b w:val="0"/>
          <w:color w:val="000000"/>
          <w:shd w:val="clear" w:color="auto" w:fill="FFFFFF"/>
        </w:rPr>
        <w:t>（五）评价标准</w:t>
      </w:r>
      <w:bookmarkEnd w:id="36"/>
    </w:p>
    <w:bookmarkEnd w:id="37"/>
    <w:bookmarkEnd w:id="38"/>
    <w:p w14:paraId="74105540">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hint="eastAsia" w:ascii="Times New Roman Regular" w:hAnsi="Times New Roman Regular" w:eastAsia="楷体_GB2312" w:cs="Times New Roman Regular"/>
          <w:b w:val="0"/>
          <w:color w:val="000000"/>
          <w:shd w:val="clear" w:color="auto" w:fill="FFFFFF"/>
        </w:rPr>
      </w:pPr>
      <w:bookmarkStart w:id="39" w:name="_Toc163"/>
      <w:bookmarkStart w:id="40" w:name="OLE_LINK112"/>
      <w:r>
        <w:rPr>
          <w:rFonts w:hint="eastAsia" w:ascii="Times New Roman Regular" w:hAnsi="Times New Roman Regular" w:eastAsia="楷体_GB2312" w:cs="Times New Roman Regular"/>
          <w:b w:val="0"/>
          <w:color w:val="000000"/>
          <w:shd w:val="clear" w:color="auto" w:fill="FFFFFF"/>
        </w:rPr>
        <w:t>评价标准应坚持公共价值导向，突出社会效益、经济效益与规范管理相统一，重点关注产品与服务对政府治理、公益事业和产业发展的支撑作用，数据资源整合治理和开发利用成效，收益核算与信息公开的规范性，以及数据安全、个人信息保护和风险防控措施落实情况。评价中应注重综合效益、实际应用成效和规范运行情况，强化对公共属性、服务质量与安全管理水平的整体衡量。</w:t>
      </w:r>
    </w:p>
    <w:p w14:paraId="01278C61">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r>
        <w:rPr>
          <w:rFonts w:ascii="Times New Roman Regular" w:hAnsi="Times New Roman Regular" w:eastAsia="楷体_GB2312" w:cs="Times New Roman Regular"/>
          <w:b w:val="0"/>
          <w:color w:val="000000"/>
          <w:shd w:val="clear" w:color="auto" w:fill="FFFFFF"/>
        </w:rPr>
        <w:t>（六）退出机制</w:t>
      </w:r>
      <w:bookmarkEnd w:id="39"/>
    </w:p>
    <w:p w14:paraId="6541102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建立退出机制，适用于期满不续约、提前终止或者更换运营机构等情形。期满退出的，运营机构提前不少于60日提交退出方案，停止新增业务并告知用户，按计划终止服务，完成数据交接和授权数据清除或销毁，实施机构组织验收并按规定办理登记注销备案，退出后不得继续保留和使用授权数据。提前终止或更换运营机构的，按程序报批后参照期满退出执行，依法依约做好数据、系统、资产和权责交接。实施机构组织专项审计评估，重点核查财务清算、资产清点和数据安全，结余资金和相关收益按协议处理。运营形成资产按权属依法处置，涉及国有资产的纳入国有资产管理，平台等关键资产按约定办理接管或移交。</w:t>
      </w:r>
    </w:p>
    <w:bookmarkEnd w:id="40"/>
    <w:p w14:paraId="0C1644E6">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41" w:name="_Toc22333"/>
      <w:bookmarkStart w:id="42" w:name="OLE_LINK113"/>
      <w:r>
        <w:rPr>
          <w:rFonts w:ascii="Times New Roman Regular" w:hAnsi="Times New Roman Regular" w:eastAsia="楷体_GB2312" w:cs="Times New Roman Regular"/>
          <w:b w:val="0"/>
          <w:color w:val="000000"/>
          <w:shd w:val="clear" w:color="auto" w:fill="FFFFFF"/>
        </w:rPr>
        <w:t>（七）资产和资金管理</w:t>
      </w:r>
      <w:bookmarkEnd w:id="41"/>
    </w:p>
    <w:bookmarkEnd w:id="42"/>
    <w:p w14:paraId="4D5DF37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授权运营涉及财政资金支持或者国有资产投入的，实行全过程规范管理和监督。实施机构会同区财政、国资等部门，健全预算管理、专账核算、审计监督、资产登记和处置管理等机制。运营机构应编制年度预算并按程序执行，财政资金严格专款专用。授权运营相关收入和支出实行独立核算，按规定定期报送财务报告，年度决算开展审计。使用财政资金形成的固定资产和无形资产依法纳入国有资产管理，及时登记入账，重大资产处置按规定履行报批程序。收费标准执行政府指导价管理要求，开展成本监审和合理收益监管，必要时按规定调整，确保资金资产安全合规、运行透明可审计。</w:t>
      </w:r>
    </w:p>
    <w:p w14:paraId="2852C446">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43" w:name="_Toc4937"/>
      <w:r>
        <w:rPr>
          <w:rFonts w:ascii="Times New Roman Regular" w:hAnsi="Times New Roman Regular" w:eastAsia="楷体_GB2312" w:cs="Times New Roman Regular"/>
          <w:b w:val="0"/>
          <w:color w:val="000000"/>
          <w:shd w:val="clear" w:color="auto" w:fill="FFFFFF"/>
        </w:rPr>
        <w:t>（八）容错机制</w:t>
      </w:r>
      <w:bookmarkEnd w:id="43"/>
    </w:p>
    <w:p w14:paraId="0A407E4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严格落实“三个区分开来”，建立容错纠错机制，支持公共数据资源授权运营稳妥探索、有序创新。对实施机构、运营机构及相关单位在履职尽责、先行先试过程中，因制度完善、技术应用、产品服务供给、合作模式探索、定价管理等产生的失误偏差，在方向正确、程序合规、未谋取私利、未造成严重后果的前提下，依法依规予以容错，并督促及时整改完善。容错认定重点做到区分探索性操作与违规使用，区分客观条件限制与主观管理失当，区分合理尝试与谋取私利。对符合容错情形的，依规予以免责减责，对违反法律法规、突破授权边界、造成严重后果的，依法依规追责问责。建立申报与研判程序，组织评估形成报告，按程序审核备案，必要时引入第三方专家参与论证，确保认定客观公正。完善容错与纠错联动，将整改措施和期限纳入监督管理，并在考核评价中对积极作为、成效明显的予以正向体现。</w:t>
      </w:r>
    </w:p>
    <w:p w14:paraId="673A5E1C">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color w:val="000000"/>
          <w:sz w:val="32"/>
          <w:shd w:val="clear" w:color="auto" w:fill="FFFFFF"/>
        </w:rPr>
      </w:pPr>
      <w:bookmarkStart w:id="44" w:name="_Toc13318"/>
      <w:r>
        <w:rPr>
          <w:rFonts w:ascii="Times New Roman Regular" w:hAnsi="Times New Roman Regular" w:eastAsia="黑体" w:cs="Times New Roman Regular"/>
          <w:b w:val="0"/>
          <w:bCs w:val="0"/>
          <w:color w:val="000000"/>
          <w:sz w:val="32"/>
          <w:shd w:val="clear" w:color="auto" w:fill="FFFFFF"/>
        </w:rPr>
        <w:t>八、公共数据产品与服务</w:t>
      </w:r>
      <w:bookmarkEnd w:id="44"/>
    </w:p>
    <w:p w14:paraId="453947F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结合全区公共数据资源禀赋和公共治理、产业发展需求，按照分领域授权组织公共数据开发利用，形成面向公共治理和公益事业、产业发展和行业应用两类数据产品与服务体系。产品服务以高质量数据集、接口服务、统计分析报告、指标体系和模型服务为主，并根据应用场景需要提供数据治理、合规评估、技术支撑和运营服务。</w:t>
      </w:r>
    </w:p>
    <w:p w14:paraId="418AA8DF">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45" w:name="_Toc21981"/>
      <w:bookmarkStart w:id="46" w:name="OLE_LINK114"/>
      <w:r>
        <w:rPr>
          <w:rFonts w:ascii="Times New Roman Regular" w:hAnsi="Times New Roman Regular" w:eastAsia="楷体_GB2312" w:cs="Times New Roman Regular"/>
          <w:b w:val="0"/>
          <w:color w:val="000000"/>
          <w:shd w:val="clear" w:color="auto" w:fill="FFFFFF"/>
        </w:rPr>
        <w:t>（一）公共治理和公益事业类</w:t>
      </w:r>
      <w:bookmarkEnd w:id="45"/>
    </w:p>
    <w:p w14:paraId="7F7D3A3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坚持公共利益导向，面向政府部门履职和公益性服务需求，提供支撑决策、提升治理效能和优化公共服务的数据产品与服务，重点包括以下场景。</w:t>
      </w:r>
    </w:p>
    <w:p w14:paraId="022E5913">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城市运行与综合治理</w:t>
      </w:r>
    </w:p>
    <w:p w14:paraId="471BD75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围绕城市运行监测、网格化治理、热线诉求处置、综合执法协同等，提供运行态势指标、问题热点分析、风险隐患提示和跨部门协同处置数据支撑。</w:t>
      </w:r>
    </w:p>
    <w:p w14:paraId="1220E93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应急管理与安全保障</w:t>
      </w:r>
    </w:p>
    <w:p w14:paraId="13A0C8B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围绕自然灾害防范、突发事件处置、安全生产监管等，提供风险点位识别、预警信息支撑、应急资源调度辅助和事件复盘统计分析。</w:t>
      </w:r>
    </w:p>
    <w:p w14:paraId="1A3FE7A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 生态环境与城市品质</w:t>
      </w:r>
    </w:p>
    <w:p w14:paraId="20A596E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围绕大气、水环境、固废处置、扬尘噪声等监管需求，提供监测数据汇聚、趋势分析、问题发现和治理成效评估支撑。</w:t>
      </w:r>
    </w:p>
    <w:p w14:paraId="0B9A0098">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 交通出行与运行保障</w:t>
      </w:r>
    </w:p>
    <w:p w14:paraId="2E158C4E">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围绕道路运行、公共交通、停车秩序和重点区域出行保障等，提供运行监测、拥堵研判、通行效率评估和保障方案辅助。</w:t>
      </w:r>
    </w:p>
    <w:p w14:paraId="0BB451F3">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 教育文体与公共服务</w:t>
      </w:r>
    </w:p>
    <w:p w14:paraId="1FB880F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围绕教育资源配置、公共文化和体育服务供给等，提供资源分布分析、供需匹配和活动保障统计评估。</w:t>
      </w:r>
    </w:p>
    <w:p w14:paraId="043750B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6. 社区治理与社会保障</w:t>
      </w:r>
    </w:p>
    <w:p w14:paraId="5920CBB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围绕基层治理、困难群体帮扶、养老服务和公共服务事项办理等，提供对象识别辅助、资源匹配以及政策执行评估与统计分析。</w:t>
      </w:r>
    </w:p>
    <w:bookmarkEnd w:id="46"/>
    <w:p w14:paraId="5A34AECE">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47" w:name="_Toc7201"/>
      <w:r>
        <w:rPr>
          <w:rFonts w:ascii="Times New Roman Regular" w:hAnsi="Times New Roman Regular" w:eastAsia="楷体_GB2312" w:cs="Times New Roman Regular"/>
          <w:b w:val="0"/>
          <w:color w:val="000000"/>
          <w:shd w:val="clear" w:color="auto" w:fill="FFFFFF"/>
        </w:rPr>
        <w:t>（二）产业发展和行业应用类</w:t>
      </w:r>
      <w:bookmarkEnd w:id="47"/>
    </w:p>
    <w:p w14:paraId="322307E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坚持服务产业发展和行业应用导向，面向企业、科研机构和行业组织等</w:t>
      </w:r>
      <w:r>
        <w:rPr>
          <w:rFonts w:hint="eastAsia" w:ascii="Times New Roman Regular" w:hAnsi="Times New Roman Regular" w:eastAsia="仿宋_GB2312" w:cs="Times New Roman Regular"/>
          <w:sz w:val="32"/>
          <w:szCs w:val="32"/>
        </w:rPr>
        <w:t>经营</w:t>
      </w:r>
      <w:r>
        <w:rPr>
          <w:rFonts w:ascii="Times New Roman Regular" w:hAnsi="Times New Roman Regular" w:eastAsia="仿宋_GB2312" w:cs="Times New Roman Regular"/>
          <w:sz w:val="32"/>
          <w:szCs w:val="32"/>
        </w:rPr>
        <w:t>主体，在依法合规前提下提供可经营的数据产品与服务，促进公共数据要素价值转化，重点包括以下场景。</w:t>
      </w:r>
    </w:p>
    <w:p w14:paraId="04F3E8F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产业运行监测与招商服务</w:t>
      </w:r>
    </w:p>
    <w:p w14:paraId="1C3C10D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围绕重点产业运行、产业链协同、项目落地和企业服务等，提供产业画像、指标监测、园区和项目分析以及企业服务信息支撑。</w:t>
      </w:r>
    </w:p>
    <w:p w14:paraId="475FA15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交通枢纽与物流协同</w:t>
      </w:r>
    </w:p>
    <w:p w14:paraId="3ABC484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围绕运输组织优化、物流效率评估、仓配协同和重点企业服务等，提供运行监测、时效评估和供需匹配分析支撑。</w:t>
      </w:r>
    </w:p>
    <w:p w14:paraId="642E0AA2">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 园区管理与先进制造服务</w:t>
      </w:r>
    </w:p>
    <w:p w14:paraId="555ADB3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围绕工业企业运行、能耗管理、环保合规和园区承载评估等，提供企业运行分析、绿色低碳评估支撑和园区服务协同支持。</w:t>
      </w:r>
    </w:p>
    <w:p w14:paraId="1997C7B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 文旅消费与商贸服务</w:t>
      </w:r>
    </w:p>
    <w:p w14:paraId="6ED4591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围绕文旅资源开发、客流分析、消费活力监测和节假日保障等，提供客流热度分析、消费趋势研判和重点区域保障支撑。</w:t>
      </w:r>
    </w:p>
    <w:p w14:paraId="636AC35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 金融服务与信用支撑</w:t>
      </w:r>
    </w:p>
    <w:p w14:paraId="11D591F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围绕普惠金融、融资对接、风险识别和合规审查等，按最小必要原则提供经营信息核验、信用评价指标支撑和行业风险分析服务。</w:t>
      </w:r>
    </w:p>
    <w:p w14:paraId="494C852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6. 医疗健康与卫生服务协同</w:t>
      </w:r>
    </w:p>
    <w:p w14:paraId="179CB7E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围绕医疗资源配置、公共卫生管理和医保服务保障等，提供服务供需分析、资源利用评估和重点人群健康服务支撑。涉及个人信息的，严格落实分级分类和脱敏处理要求，原则上以汇总统计、指标分析和模型结果等形式提供产品与服务，确保依法合规、安全可控。</w:t>
      </w:r>
    </w:p>
    <w:p w14:paraId="7248F6FB">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48" w:name="_Toc24109"/>
      <w:bookmarkStart w:id="49" w:name="OLE_LINK115"/>
      <w:r>
        <w:rPr>
          <w:rFonts w:ascii="Times New Roman Regular" w:hAnsi="Times New Roman Regular" w:eastAsia="楷体_GB2312" w:cs="Times New Roman Regular"/>
          <w:b w:val="0"/>
          <w:color w:val="000000"/>
          <w:shd w:val="clear" w:color="auto" w:fill="FFFFFF"/>
        </w:rPr>
        <w:t>（三）产品与服务动态管理</w:t>
      </w:r>
      <w:bookmarkEnd w:id="48"/>
    </w:p>
    <w:p w14:paraId="7437ECF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公共数据产品与服务实行动态管理。运营机构应结合公共治理需要、社会需求变化和应用成效，持续优化产品内容、服务方式和交付形态，定期形成运行情况报告。新增产品与服务按规定履行场景论证、合规评估和内部审核程序后纳入运营范围，并依法依规公开相关信息。停止提供或不再适用的产品与服务按规定办理下线，及时更新对外信息并做好存量业务衔接。涉及收费项目新增或调整的，严格按价格管理规定履行报批或备案程序，确保收费合规、公开透明。实施机构通过日常监督、检查和绩效评价等方式加强管理，推动产品与服务供给质量持续提升。</w:t>
      </w:r>
    </w:p>
    <w:bookmarkEnd w:id="49"/>
    <w:p w14:paraId="208BEF8B">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color w:val="000000"/>
          <w:sz w:val="32"/>
          <w:shd w:val="clear" w:color="auto" w:fill="FFFFFF"/>
        </w:rPr>
      </w:pPr>
      <w:bookmarkStart w:id="50" w:name="_Toc20723"/>
      <w:r>
        <w:rPr>
          <w:rFonts w:ascii="Times New Roman Regular" w:hAnsi="Times New Roman Regular" w:eastAsia="黑体" w:cs="Times New Roman Regular"/>
          <w:b w:val="0"/>
          <w:bCs w:val="0"/>
          <w:color w:val="000000"/>
          <w:sz w:val="32"/>
          <w:shd w:val="clear" w:color="auto" w:fill="FFFFFF"/>
        </w:rPr>
        <w:t>九、经营核算与收益分配机制</w:t>
      </w:r>
      <w:bookmarkEnd w:id="50"/>
    </w:p>
    <w:p w14:paraId="3371798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授权运营涉及公益与商业相结合，需要建立科学的经营核算和收益分配机制，确保各方合理受益并兼顾公共属性。</w:t>
      </w:r>
    </w:p>
    <w:p w14:paraId="23509F5E">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51" w:name="_Toc10128"/>
      <w:bookmarkStart w:id="52" w:name="OLE_LINK125"/>
      <w:r>
        <w:rPr>
          <w:rFonts w:ascii="Times New Roman Regular" w:hAnsi="Times New Roman Regular" w:eastAsia="楷体_GB2312" w:cs="Times New Roman Regular"/>
          <w:b w:val="0"/>
          <w:color w:val="000000"/>
          <w:shd w:val="clear" w:color="auto" w:fill="FFFFFF"/>
        </w:rPr>
        <w:t>（一）经营核算机制</w:t>
      </w:r>
      <w:bookmarkEnd w:id="51"/>
    </w:p>
    <w:p w14:paraId="66FE92C4">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按照</w:t>
      </w:r>
      <w:r>
        <w:rPr>
          <w:rFonts w:hint="eastAsia" w:ascii="Times New Roman Regular" w:hAnsi="Times New Roman Regular" w:eastAsia="仿宋_GB2312" w:cs="Times New Roman Regular"/>
          <w:sz w:val="32"/>
          <w:szCs w:val="32"/>
        </w:rPr>
        <w:t>国家</w:t>
      </w:r>
      <w:r>
        <w:rPr>
          <w:rFonts w:ascii="Times New Roman Regular" w:hAnsi="Times New Roman Regular" w:eastAsia="仿宋_GB2312" w:cs="Times New Roman Regular"/>
          <w:sz w:val="32"/>
          <w:szCs w:val="32"/>
        </w:rPr>
        <w:t>《关于建立公共数据资源授权运营价格形成机制的通知》要求，建立定价程序和收益公开制度。由发展改革部门会同数据管理部门核定运营机构最高准许收入，授权主体据此制定产品服务收费上限并按规定备案，运营机构在上限范围内自主定价。对未形成完整年度运营数据的先行试行，运行满一年后按权限申请核定正式标准。建立评估和动态调整机制，原则上每3年评估一次，并结合年度经营情况按规定调整。运营机构实行单独核算，如实记录收入成本并接受审计，按规定报送年度经营报告，必要信息依法依规公开并开展纠偏。强化成本管控和风险防范，持续亏损或收益明显偏离合理区间的，按规定评估处置并通过调整收费标准、优化服务供给等措施及时纠偏。</w:t>
      </w:r>
    </w:p>
    <w:bookmarkEnd w:id="52"/>
    <w:p w14:paraId="4F515D31">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53" w:name="_Toc18907"/>
      <w:bookmarkStart w:id="54" w:name="OLE_LINK126"/>
      <w:r>
        <w:rPr>
          <w:rFonts w:ascii="Times New Roman Regular" w:hAnsi="Times New Roman Regular" w:eastAsia="楷体_GB2312" w:cs="Times New Roman Regular"/>
          <w:b w:val="0"/>
          <w:color w:val="000000"/>
          <w:shd w:val="clear" w:color="auto" w:fill="FFFFFF"/>
        </w:rPr>
        <w:t>（二）收益分配机制</w:t>
      </w:r>
      <w:bookmarkEnd w:id="53"/>
    </w:p>
    <w:bookmarkEnd w:id="54"/>
    <w:p w14:paraId="7F710188">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收益分配按照《</w:t>
      </w:r>
      <w:r>
        <w:rPr>
          <w:rFonts w:ascii="Times New Roman Regular" w:hAnsi="Times New Roman Regular" w:eastAsia="仿宋_GB2312" w:cs="Times New Roman Regular"/>
          <w:color w:val="auto"/>
          <w:sz w:val="32"/>
          <w:szCs w:val="32"/>
        </w:rPr>
        <w:t>天津市公共数据授权运营收益分配管理办法（试行）》执行</w:t>
      </w:r>
      <w:r>
        <w:rPr>
          <w:rFonts w:ascii="Times New Roman Regular" w:hAnsi="Times New Roman Regular" w:eastAsia="仿宋_GB2312" w:cs="Times New Roman Regular"/>
          <w:sz w:val="32"/>
          <w:szCs w:val="32"/>
        </w:rPr>
        <w:t>，遵循</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补偿成本、促进流通、让利市场、服务社会</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原则，统筹兼顾运营投入、资源有偿使用成本和经济社会效益。公共数据授权运营服务费由运营机构经营成本和公共数据资源有偿使用成本构成，相关成本分别按企业会计准则和政府会计准则规范核算，必要时提供佐证材料。服务费实行预收缴、后清算机制，授权主体按年度组织收缴、核定和分配，运营机构按规定报送收支情况，授权主体会同数据主管部门、财政部门及相关方核算成本并确定实际分配比例，按程序多退少补，公共数据资源有偿使用收入按规定上缴财政并纳入非税收入管理。涉及多部门数据融合的，按数据贡献合理统筹分配，相关上缴收入在符合财政支出管理规定前提下可用于支持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系统运维、数据治理和能力提升，确保分配流程清晰、边界明确、合法合规。</w:t>
      </w:r>
    </w:p>
    <w:p w14:paraId="2D54AB5A">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color w:val="000000"/>
          <w:sz w:val="32"/>
          <w:shd w:val="clear" w:color="auto" w:fill="FFFFFF"/>
        </w:rPr>
      </w:pPr>
      <w:bookmarkStart w:id="55" w:name="_Toc6088"/>
      <w:r>
        <w:rPr>
          <w:rFonts w:ascii="Times New Roman Regular" w:hAnsi="Times New Roman Regular" w:eastAsia="黑体" w:cs="Times New Roman Regular"/>
          <w:b w:val="0"/>
          <w:bCs w:val="0"/>
          <w:color w:val="000000"/>
          <w:sz w:val="32"/>
          <w:shd w:val="clear" w:color="auto" w:fill="FFFFFF"/>
        </w:rPr>
        <w:t>十、数据安全与应急处置</w:t>
      </w:r>
      <w:bookmarkEnd w:id="55"/>
    </w:p>
    <w:p w14:paraId="243E79B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数据安全和个人信息保护是公共数据授权运营的红线和底线。应制定全面的安全保障措施和应急预案，确保在授权运营全生命周期内数据安全可控，形成覆盖风险识别、预警与响应的长效工作机制。</w:t>
      </w:r>
    </w:p>
    <w:p w14:paraId="0BD0D334">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56" w:name="_Toc23043"/>
      <w:bookmarkStart w:id="57" w:name="OLE_LINK116"/>
      <w:r>
        <w:rPr>
          <w:rFonts w:ascii="Times New Roman Regular" w:hAnsi="Times New Roman Regular" w:eastAsia="楷体_GB2312" w:cs="Times New Roman Regular"/>
          <w:b w:val="0"/>
          <w:color w:val="000000"/>
          <w:shd w:val="clear" w:color="auto" w:fill="FFFFFF"/>
        </w:rPr>
        <w:t>（一）数据安全管理措施</w:t>
      </w:r>
      <w:bookmarkEnd w:id="56"/>
    </w:p>
    <w:p w14:paraId="6543245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安全管理体系建设</w:t>
      </w:r>
    </w:p>
    <w:p w14:paraId="5BD51AA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建立安全管理体系，明确各方责任，完善制度流程和岗位要求，落实培训与保密管理，定期检查评估，确保责任到岗到人。</w:t>
      </w:r>
    </w:p>
    <w:p w14:paraId="196B7F3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分类分级与权限控制</w:t>
      </w:r>
    </w:p>
    <w:p w14:paraId="4BFC039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实行分类分级管理，明确保护要求和使用边界，落实最小权限原则，严格控制重要数据和敏感数据访问范围，第三方用数依法依规明确用途和安全责任。</w:t>
      </w:r>
    </w:p>
    <w:p w14:paraId="1E22DB4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 网络系统与数据安全</w:t>
      </w:r>
    </w:p>
    <w:p w14:paraId="3A42EC5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加强网络隔离和边界防护，落实漏洞管理、入侵防护和审计留痕。接口服务实行认证授权和调用控制，敏感数据落实加密存储与传输，异常行为及时告警处置，按需完善备份和容灾。</w:t>
      </w:r>
    </w:p>
    <w:p w14:paraId="34718C44">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 个人信息保护</w:t>
      </w:r>
    </w:p>
    <w:p w14:paraId="031ECB33">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坚持合法、正当、必要原则，优先脱敏、匿名化供给，原则上不提供可识别个人</w:t>
      </w:r>
      <w:r>
        <w:rPr>
          <w:rFonts w:hint="eastAsia" w:ascii="Times New Roman Regular" w:hAnsi="Times New Roman Regular" w:eastAsia="仿宋_GB2312" w:cs="Times New Roman Regular"/>
          <w:sz w:val="32"/>
          <w:szCs w:val="32"/>
        </w:rPr>
        <w:t>信息</w:t>
      </w:r>
      <w:r>
        <w:rPr>
          <w:rFonts w:ascii="Times New Roman Regular" w:hAnsi="Times New Roman Regular" w:eastAsia="仿宋_GB2312" w:cs="Times New Roman Regular"/>
          <w:sz w:val="32"/>
          <w:szCs w:val="32"/>
        </w:rPr>
        <w:t>的明细数据，不得超授权目的使用。向第三方提供的依法履行相关程序，建立更正、删除等权益响应机制。</w:t>
      </w:r>
    </w:p>
    <w:p w14:paraId="4F66035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 技术能力建设</w:t>
      </w:r>
    </w:p>
    <w:p w14:paraId="179C34E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完善监测预警能力，推进密码应用和安全产品合规使用，定期开展安全评估和演练，及时整改隐患，持续提升防护水平。</w:t>
      </w:r>
    </w:p>
    <w:bookmarkEnd w:id="57"/>
    <w:p w14:paraId="5EA7114F">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58" w:name="_Toc28671"/>
      <w:r>
        <w:rPr>
          <w:rFonts w:ascii="Times New Roman Regular" w:hAnsi="Times New Roman Regular" w:eastAsia="楷体_GB2312" w:cs="Times New Roman Regular"/>
          <w:b w:val="0"/>
          <w:color w:val="000000"/>
          <w:shd w:val="clear" w:color="auto" w:fill="FFFFFF"/>
        </w:rPr>
        <w:t>（二）应急处置预案</w:t>
      </w:r>
      <w:bookmarkEnd w:id="58"/>
    </w:p>
    <w:p w14:paraId="4A4FD9C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建立应急处置机制，确保安全事件和突发风险快速响应、有效处置，保障业务连续运行。</w:t>
      </w:r>
    </w:p>
    <w:p w14:paraId="74630F4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组织与流程</w:t>
      </w:r>
    </w:p>
    <w:p w14:paraId="174DB1B2">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建立应急工作机制，明确事故报告、分级响应、协同处置流程，发生事件及时报告并启动响应。</w:t>
      </w:r>
    </w:p>
    <w:p w14:paraId="1AA6B53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预案与分级</w:t>
      </w:r>
    </w:p>
    <w:p w14:paraId="088381C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针对数据泄露、网络攻击、系统故障、数据篡改丢失、合规风险等制定专项预案，明确判定标准、响应级别、处置措施和信息报送要求。</w:t>
      </w:r>
    </w:p>
    <w:p w14:paraId="3816BE5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 处置与恢复</w:t>
      </w:r>
    </w:p>
    <w:p w14:paraId="5B909333">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发现风险及时采取隔离封堵、暂停服务、溯源取证、应急切换和恢复运行等措施，按规定开展对外告知和舆情处置，防止扩散和次生风险。</w:t>
      </w:r>
    </w:p>
    <w:p w14:paraId="546C00F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 复盘与整改</w:t>
      </w:r>
    </w:p>
    <w:p w14:paraId="4E6CE93A">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事件处置后开展复盘评估，落实整改和责任追究，完善制度和预案，必要时引入第三方评估，整改达标后恢复运营。</w:t>
      </w:r>
    </w:p>
    <w:p w14:paraId="433C417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 联动演练</w:t>
      </w:r>
    </w:p>
    <w:p w14:paraId="79A7710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定期组织应急演练，检验预案有效性，发现薄弱环节并持续完善协同机制。</w:t>
      </w:r>
    </w:p>
    <w:p w14:paraId="27A8FA3B">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color w:val="000000"/>
          <w:sz w:val="32"/>
          <w:shd w:val="clear" w:color="auto" w:fill="FFFFFF"/>
        </w:rPr>
      </w:pPr>
      <w:bookmarkStart w:id="59" w:name="_Toc13807"/>
      <w:r>
        <w:rPr>
          <w:rFonts w:ascii="Times New Roman Regular" w:hAnsi="Times New Roman Regular" w:eastAsia="黑体" w:cs="Times New Roman Regular"/>
          <w:b w:val="0"/>
          <w:bCs w:val="0"/>
          <w:color w:val="000000"/>
          <w:sz w:val="32"/>
          <w:shd w:val="clear" w:color="auto" w:fill="FFFFFF"/>
        </w:rPr>
        <w:t>十一、各参与方权利义务</w:t>
      </w:r>
      <w:bookmarkEnd w:id="59"/>
    </w:p>
    <w:p w14:paraId="189482AD">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bookmarkStart w:id="60" w:name="OLE_LINK117"/>
      <w:r>
        <w:rPr>
          <w:rFonts w:ascii="Times New Roman Regular" w:hAnsi="Times New Roman Regular" w:eastAsia="仿宋_GB2312" w:cs="Times New Roman Regular"/>
          <w:sz w:val="32"/>
          <w:szCs w:val="32"/>
        </w:rPr>
        <w:t>公共数据授权运营是一项统筹推进、协同实施的综合性工作，涉及实施机构、数据持有</w:t>
      </w:r>
      <w:r>
        <w:rPr>
          <w:rFonts w:hint="eastAsia" w:ascii="Times New Roman Regular" w:hAnsi="Times New Roman Regular" w:eastAsia="仿宋_GB2312" w:cs="Times New Roman Regular"/>
          <w:sz w:val="32"/>
          <w:szCs w:val="32"/>
        </w:rPr>
        <w:t>方</w:t>
      </w:r>
      <w:r>
        <w:rPr>
          <w:rFonts w:ascii="Times New Roman Regular" w:hAnsi="Times New Roman Regular" w:eastAsia="仿宋_GB2312" w:cs="Times New Roman Regular"/>
          <w:sz w:val="32"/>
          <w:szCs w:val="32"/>
        </w:rPr>
        <w:t>、运营机构以及财政、国资、发展改革等部门。为明确各方职权边界和责任约束，健全协作机制，保障授权运营规范有序推进，现对各参与方权利义务予以说明如下。</w:t>
      </w:r>
    </w:p>
    <w:bookmarkEnd w:id="60"/>
    <w:p w14:paraId="1465E724">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61" w:name="_Toc12965"/>
      <w:bookmarkStart w:id="62" w:name="OLE_LINK118"/>
      <w:r>
        <w:rPr>
          <w:rFonts w:ascii="Times New Roman Regular" w:hAnsi="Times New Roman Regular" w:eastAsia="楷体_GB2312" w:cs="Times New Roman Regular"/>
          <w:b w:val="0"/>
          <w:color w:val="000000"/>
          <w:shd w:val="clear" w:color="auto" w:fill="FFFFFF"/>
        </w:rPr>
        <w:t>（一）实施机构</w:t>
      </w:r>
      <w:bookmarkEnd w:id="61"/>
    </w:p>
    <w:p w14:paraId="2460FDB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相关义务</w:t>
      </w:r>
    </w:p>
    <w:p w14:paraId="37F1FA5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实施机构牵头组织授权运营工作，负责实施方案编制报审、协议签订和重大事项统筹协调，推动数据供给和问题处置。落实上级政策要求并及时完善相关安排。对授权范围、目录清单、定价与核算、信息公开以及数据安全和个人信息保护等实施全过程监督管理，组织年度考核和综合评估，督促整改并依法依约处置。按规定履行备案和报告义务，做好与市级主管部门衔接和必要支撑保障。</w:t>
      </w:r>
    </w:p>
    <w:p w14:paraId="591DE9E5">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相关权利</w:t>
      </w:r>
    </w:p>
    <w:p w14:paraId="6BA2CD8E">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有权掌握运营情况并开展检查监督，要求限期整改。对授权数据使用边界享有管理权，发生安全风险或公共利益受损等情形时，可依法依约采取暂停、调整、收回等措施，并按约定启动更换运营机构等程序。</w:t>
      </w:r>
    </w:p>
    <w:bookmarkEnd w:id="62"/>
    <w:p w14:paraId="5FB4B8D8">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63" w:name="_Toc24163"/>
      <w:bookmarkStart w:id="64" w:name="OLE_LINK119"/>
      <w:r>
        <w:rPr>
          <w:rFonts w:ascii="Times New Roman Regular" w:hAnsi="Times New Roman Regular" w:eastAsia="楷体_GB2312" w:cs="Times New Roman Regular"/>
          <w:b w:val="0"/>
          <w:color w:val="000000"/>
          <w:shd w:val="clear" w:color="auto" w:fill="FFFFFF"/>
        </w:rPr>
        <w:t>（二）数据持有方</w:t>
      </w:r>
      <w:bookmarkEnd w:id="63"/>
    </w:p>
    <w:p w14:paraId="332424D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相关义务</w:t>
      </w:r>
    </w:p>
    <w:p w14:paraId="0CA614F0">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数据持有方应按实施方案和协议要求提供授权范围内数据资源，保证数据来源合法、内容真实完整，并按约定频率及时更新。应加强源头治理和质量维护，配合开展元数据完善、分类标注和敏感信息识别处理</w:t>
      </w:r>
      <w:r>
        <w:rPr>
          <w:rFonts w:hint="eastAsia" w:ascii="Times New Roman Regular" w:hAnsi="Times New Roman Regular" w:eastAsia="仿宋_GB2312" w:cs="Times New Roman Regular"/>
          <w:sz w:val="32"/>
          <w:szCs w:val="32"/>
        </w:rPr>
        <w:t>工作</w:t>
      </w:r>
      <w:r>
        <w:rPr>
          <w:rFonts w:ascii="Times New Roman Regular" w:hAnsi="Times New Roman Regular" w:eastAsia="仿宋_GB2312" w:cs="Times New Roman Regular"/>
          <w:sz w:val="32"/>
          <w:szCs w:val="32"/>
        </w:rPr>
        <w:t>。应严格遵守授权边界，不得擅自重复授权或变更用途，不得向用户另行收费或干预定价。应落实安全保密要求，发现涉密或不宜使用情形及时告知并配合处置，协同推进授权运营相关工作。</w:t>
      </w:r>
    </w:p>
    <w:p w14:paraId="5A7E03F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相关权利</w:t>
      </w:r>
    </w:p>
    <w:p w14:paraId="2F6A1CB4">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有权了解其数据使用和产品服务形成情况，要求依法合规使用并维护合法权益。按规定享有收益分配权并可监督运营合规，对违规行为可提出制止建议，发生重大风险时可向实施机构报告并请求处置。</w:t>
      </w:r>
    </w:p>
    <w:bookmarkEnd w:id="64"/>
    <w:p w14:paraId="14DBEB4D">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65" w:name="_Toc3380"/>
      <w:bookmarkStart w:id="66" w:name="OLE_LINK120"/>
      <w:r>
        <w:rPr>
          <w:rFonts w:ascii="Times New Roman Regular" w:hAnsi="Times New Roman Regular" w:eastAsia="楷体_GB2312" w:cs="Times New Roman Regular"/>
          <w:b w:val="0"/>
          <w:color w:val="000000"/>
          <w:shd w:val="clear" w:color="auto" w:fill="FFFFFF"/>
        </w:rPr>
        <w:t>（三）运营机构</w:t>
      </w:r>
      <w:bookmarkEnd w:id="65"/>
    </w:p>
    <w:p w14:paraId="53DEAE8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相关义务</w:t>
      </w:r>
    </w:p>
    <w:p w14:paraId="20D97A49">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运营机构应严格按照授权协议约定的范围、用途、期限开展运营，不得超范围使用、变相转授权或擅自调整授权事项。应开展数据治理加工，按实施方案和协议约定形成数据产品与服务供给能力。应依法合规经营，落实网络安全、数据安全和个人信息保护要求，执行价格管理规定，依法纳税并规范财务核算。应按规定开展信息披露，及时公开产品服务清单和收费标准等必要信息。应按约定及时结算并划转收益，提供核算依据并接受审计监督。应配合监督检查、审计评估和整改要求，发生重大风险事件按要求报告并服从处置。应做好用户服务保障，维护用户合法权益，确保服务稳定连续。</w:t>
      </w:r>
    </w:p>
    <w:p w14:paraId="5234F9D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相关权利</w:t>
      </w:r>
    </w:p>
    <w:p w14:paraId="5560A2B6">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运营机构有权在授权范围内开展数据治理开发并依法获取合理收益，对自行开发形成的产品服务依法享有相应权益，有权在政策和协议框架内自主开展经营活动和业务创新，并对不当干预依法依约提出异议。</w:t>
      </w:r>
      <w:bookmarkEnd w:id="66"/>
    </w:p>
    <w:p w14:paraId="774F0D82">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67" w:name="_Toc25493"/>
      <w:bookmarkStart w:id="68" w:name="OLE_LINK121"/>
      <w:r>
        <w:rPr>
          <w:rFonts w:ascii="Times New Roman Regular" w:hAnsi="Times New Roman Regular" w:eastAsia="楷体_GB2312" w:cs="Times New Roman Regular"/>
          <w:b w:val="0"/>
          <w:color w:val="000000"/>
          <w:shd w:val="clear" w:color="auto" w:fill="FFFFFF"/>
        </w:rPr>
        <w:t>（四）财政部门</w:t>
      </w:r>
      <w:bookmarkEnd w:id="67"/>
    </w:p>
    <w:p w14:paraId="2EC63BEC">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相关义务</w:t>
      </w:r>
    </w:p>
    <w:p w14:paraId="05F5A4C7">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财政部门负责政府收益收缴和统筹管理，按</w:t>
      </w:r>
      <w:r>
        <w:rPr>
          <w:rFonts w:hint="eastAsia" w:ascii="Times New Roman Regular" w:hAnsi="Times New Roman Regular" w:eastAsia="仿宋_GB2312" w:cs="Times New Roman Regular"/>
          <w:sz w:val="32"/>
          <w:szCs w:val="32"/>
        </w:rPr>
        <w:t>授权运营</w:t>
      </w:r>
      <w:r>
        <w:rPr>
          <w:rFonts w:ascii="Times New Roman Regular" w:hAnsi="Times New Roman Regular" w:eastAsia="仿宋_GB2312" w:cs="Times New Roman Regular"/>
          <w:sz w:val="32"/>
          <w:szCs w:val="32"/>
        </w:rPr>
        <w:t>协议约定将应上缴收益纳入国库管理并依法依规使用。对财政资金投入形成的资产，会同有关部门纳入国有资产登记管理，参与重大资产事项审核把关，督促规范处置，防止国有资产流失。</w:t>
      </w:r>
    </w:p>
    <w:p w14:paraId="3BBF2A2E">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相关权利</w:t>
      </w:r>
    </w:p>
    <w:p w14:paraId="2FC1EFE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在履行财政资金保障与监管职责的过程中，财政部门为确保公共资源高效、规范使用，依法享有与项目资金管理相关的核心权利。这些权利既服务于财政管理职能的有效落实，也为授权运营的资金合规性与透明度提供制度基础。</w:t>
      </w:r>
      <w:bookmarkEnd w:id="68"/>
    </w:p>
    <w:p w14:paraId="3E1DCF9B">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69" w:name="_Toc3366"/>
      <w:r>
        <w:rPr>
          <w:rFonts w:ascii="Times New Roman Regular" w:hAnsi="Times New Roman Regular" w:eastAsia="楷体_GB2312" w:cs="Times New Roman Regular"/>
          <w:b w:val="0"/>
          <w:color w:val="000000"/>
          <w:shd w:val="clear" w:color="auto" w:fill="FFFFFF"/>
        </w:rPr>
        <w:t>（五）国资部门</w:t>
      </w:r>
      <w:bookmarkEnd w:id="69"/>
    </w:p>
    <w:p w14:paraId="18B240DB">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相关义务</w:t>
      </w:r>
    </w:p>
    <w:p w14:paraId="096ED958">
      <w:pPr>
        <w:pStyle w:val="4"/>
        <w:pageBreakBefore w:val="0"/>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国资部门依法履行国有资产监管职责，加强对授权运营过程中涉及国有资产的管理使用监督，定期检查相关资产增减变化，防止闲置浪费和流失。对重大资产处置事项依法审核把关，涉及国有资产交易的，按规定履行审批或备案程序，并按要求组织公开交易，维护国有资产权益。</w:t>
      </w:r>
    </w:p>
    <w:p w14:paraId="7C94B8E4">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相关权利</w:t>
      </w:r>
    </w:p>
    <w:p w14:paraId="7085FE4F">
      <w:pPr>
        <w:pStyle w:val="4"/>
        <w:pageBreakBefore w:val="0"/>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color w:val="000000" w:themeColor="text1"/>
          <w:sz w:val="32"/>
          <w:szCs w:val="32"/>
          <w14:textFill>
            <w14:solidFill>
              <w14:schemeClr w14:val="tx1"/>
            </w14:solidFill>
          </w14:textFill>
        </w:rPr>
      </w:pPr>
      <w:r>
        <w:rPr>
          <w:rFonts w:ascii="Times New Roman Regular" w:hAnsi="Times New Roman Regular" w:eastAsia="仿宋_GB2312" w:cs="Times New Roman Regular"/>
          <w:color w:val="000000" w:themeColor="text1"/>
          <w:sz w:val="32"/>
          <w:szCs w:val="32"/>
          <w14:textFill>
            <w14:solidFill>
              <w14:schemeClr w14:val="tx1"/>
            </w14:solidFill>
          </w14:textFill>
        </w:rPr>
        <w:t>在公共数据授权运营过程中，国资部门基于其监管职能享有必要的权利，确保能够依法履行监管职责、介入重大事项、把控关键环节，推动国有资产在授权运营中的规范运作与稳健运行。</w:t>
      </w:r>
    </w:p>
    <w:p w14:paraId="5F7A03B9">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70" w:name="_Toc19140"/>
      <w:bookmarkStart w:id="71" w:name="OLE_LINK122"/>
      <w:r>
        <w:rPr>
          <w:rFonts w:ascii="Times New Roman Regular" w:hAnsi="Times New Roman Regular" w:eastAsia="楷体_GB2312" w:cs="Times New Roman Regular"/>
          <w:b w:val="0"/>
          <w:color w:val="000000"/>
          <w:shd w:val="clear" w:color="auto" w:fill="FFFFFF"/>
        </w:rPr>
        <w:t>（六）发展改革部门</w:t>
      </w:r>
      <w:bookmarkEnd w:id="70"/>
    </w:p>
    <w:p w14:paraId="66EDC71E">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 相关义务</w:t>
      </w:r>
    </w:p>
    <w:p w14:paraId="4AFCADDA">
      <w:pPr>
        <w:pStyle w:val="4"/>
        <w:pageBreakBefore w:val="0"/>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发展改革部门履行价格管理职责，健全公共数据授权运营价格管理机制，</w:t>
      </w:r>
      <w:r>
        <w:rPr>
          <w:rFonts w:hint="eastAsia" w:ascii="Times New Roman Regular" w:hAnsi="Times New Roman Regular" w:eastAsia="仿宋_GB2312" w:cs="Times New Roman Regular"/>
          <w:sz w:val="32"/>
          <w:szCs w:val="32"/>
        </w:rPr>
        <w:t>按照政府指导价目录执行</w:t>
      </w:r>
      <w:r>
        <w:rPr>
          <w:rFonts w:ascii="Times New Roman Regular" w:hAnsi="Times New Roman Regular" w:eastAsia="仿宋_GB2312" w:cs="Times New Roman Regular"/>
          <w:sz w:val="32"/>
          <w:szCs w:val="32"/>
        </w:rPr>
        <w:t>，保障收费标准科学合理、公开透明。加强成本监管和价格执行监督，会同有关部门开展成本监审和政策评估，指导规范收费行为，促进公共数据资源高效利用。</w:t>
      </w:r>
    </w:p>
    <w:p w14:paraId="5AA669DF">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 相关权利</w:t>
      </w:r>
    </w:p>
    <w:p w14:paraId="3D387C82">
      <w:pPr>
        <w:pStyle w:val="4"/>
        <w:pageBreakBefore w:val="0"/>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szCs w:val="32"/>
        </w:rPr>
      </w:pPr>
      <w:r>
        <w:rPr>
          <w:rFonts w:ascii="Times New Roman Regular" w:hAnsi="Times New Roman Regular" w:eastAsia="仿宋_GB2312" w:cs="Times New Roman Regular"/>
          <w:sz w:val="32"/>
          <w:szCs w:val="32"/>
        </w:rPr>
        <w:t>依法对定价政策执行、标准备案和调整事项实施管理，有权调取成本核算等相关资料并组织评估，</w:t>
      </w:r>
      <w:r>
        <w:rPr>
          <w:rFonts w:hint="eastAsia" w:ascii="Times New Roman Regular" w:hAnsi="Times New Roman Regular" w:eastAsia="仿宋_GB2312" w:cs="Times New Roman Regular"/>
          <w:sz w:val="32"/>
          <w:szCs w:val="32"/>
        </w:rPr>
        <w:t>配合有关部门依法查处不遵守行业管理有关规定、不执行政府指导价、价格欺诈以及不按规定明码标价等行为。</w:t>
      </w:r>
    </w:p>
    <w:bookmarkEnd w:id="71"/>
    <w:p w14:paraId="3B0D61AA">
      <w:pPr>
        <w:pStyle w:val="2"/>
        <w:pageBreakBefore w:val="0"/>
        <w:kinsoku/>
        <w:wordWrap/>
        <w:overflowPunct/>
        <w:topLinePunct w:val="0"/>
        <w:autoSpaceDE/>
        <w:autoSpaceDN/>
        <w:bidi w:val="0"/>
        <w:adjustRightInd/>
        <w:spacing w:before="0" w:after="0" w:line="560" w:lineRule="exact"/>
        <w:ind w:firstLine="640" w:firstLineChars="200"/>
        <w:textAlignment w:val="auto"/>
        <w:rPr>
          <w:rFonts w:ascii="Times New Roman Regular" w:hAnsi="Times New Roman Regular" w:eastAsia="黑体" w:cs="Times New Roman Regular"/>
          <w:b w:val="0"/>
          <w:bCs w:val="0"/>
          <w:color w:val="000000"/>
          <w:sz w:val="32"/>
          <w:shd w:val="clear" w:color="auto" w:fill="FFFFFF"/>
        </w:rPr>
      </w:pPr>
      <w:bookmarkStart w:id="72" w:name="_Toc25002"/>
      <w:r>
        <w:rPr>
          <w:rFonts w:ascii="Times New Roman Regular" w:hAnsi="Times New Roman Regular" w:eastAsia="黑体" w:cs="Times New Roman Regular"/>
          <w:b w:val="0"/>
          <w:bCs w:val="0"/>
          <w:color w:val="000000"/>
          <w:sz w:val="32"/>
          <w:shd w:val="clear" w:color="auto" w:fill="FFFFFF"/>
        </w:rPr>
        <w:t>十二、监督管理与考核评价</w:t>
      </w:r>
      <w:bookmarkEnd w:id="72"/>
    </w:p>
    <w:p w14:paraId="0B6899D1">
      <w:pPr>
        <w:pStyle w:val="12"/>
        <w:pageBreakBefore w:val="0"/>
        <w:framePr w:wrap="auto" w:vAnchor="margin" w:hAnchor="text" w:yAlign="inline"/>
        <w:kinsoku/>
        <w:wordWrap/>
        <w:overflowPunct/>
        <w:topLinePunct w:val="0"/>
        <w:autoSpaceDE/>
        <w:autoSpaceDN/>
        <w:bidi w:val="0"/>
        <w:adjustRightInd/>
        <w:snapToGrid w:val="0"/>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为确保授权运营工作规范开展和取得实效，需建立健全监督管理和考核评价机制。</w:t>
      </w:r>
    </w:p>
    <w:p w14:paraId="46E19F59">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73" w:name="_Toc29095"/>
      <w:bookmarkStart w:id="74" w:name="OLE_LINK123"/>
      <w:r>
        <w:rPr>
          <w:rFonts w:ascii="Times New Roman Regular" w:hAnsi="Times New Roman Regular" w:eastAsia="楷体_GB2312" w:cs="Times New Roman Regular"/>
          <w:b w:val="0"/>
          <w:color w:val="000000"/>
          <w:shd w:val="clear" w:color="auto" w:fill="FFFFFF"/>
        </w:rPr>
        <w:t>（一）监督管理机制</w:t>
      </w:r>
      <w:bookmarkEnd w:id="73"/>
    </w:p>
    <w:p w14:paraId="58AAEA8E">
      <w:pPr>
        <w:pageBreakBefore w:val="0"/>
        <w:widowControl/>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color w:val="000000"/>
          <w:sz w:val="32"/>
          <w:szCs w:val="32"/>
          <w:u w:color="000000"/>
        </w:rPr>
      </w:pPr>
      <w:r>
        <w:rPr>
          <w:rFonts w:ascii="Times New Roman Regular" w:hAnsi="Times New Roman Regular" w:eastAsia="仿宋_GB2312" w:cs="Times New Roman Regular"/>
          <w:color w:val="000000"/>
          <w:sz w:val="32"/>
          <w:szCs w:val="32"/>
          <w:u w:color="000000"/>
        </w:rPr>
        <w:t>建立健全监督管理机制，由实施机构对授权运营实行全过程监督管理，会同发展改革、财政、网信等部门开展定期或不定期检查，重点核查数据安全、服务规范、信息公开、收费行为和协议履行等情况，对发现问题依法依规采取警告、限期整改、暂停相关业务直至终止协议等措施，形成记录和整改闭环。同时健全社会监督和举报机制，依法公开监督渠道并及时核查反馈，督促运营机构按要求公开产品服务目录、收费标准及调整、重大事项和年度报告。按规定开展审计监督，重点关注资金收支、资产管理和收益分配等事项，落实审计整改要求。严格执行上级主管部门有关登记管理、价格管理等制度要求，按规定报送运营情况并配合抽查评估。建立风险台账和监测预警机制，动态监测数据安全、合规、舆情和财务等风险，发现异常及时预警处置，防止风险扩散升级。</w:t>
      </w:r>
    </w:p>
    <w:bookmarkEnd w:id="74"/>
    <w:p w14:paraId="2FF51F88">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75" w:name="_Toc14289"/>
      <w:bookmarkStart w:id="76" w:name="OLE_LINK124"/>
      <w:r>
        <w:rPr>
          <w:rFonts w:ascii="Times New Roman Regular" w:hAnsi="Times New Roman Regular" w:eastAsia="楷体_GB2312" w:cs="Times New Roman Regular"/>
          <w:b w:val="0"/>
          <w:color w:val="000000"/>
          <w:shd w:val="clear" w:color="auto" w:fill="FFFFFF"/>
        </w:rPr>
        <w:t>（二）考核评价制度</w:t>
      </w:r>
      <w:bookmarkEnd w:id="75"/>
    </w:p>
    <w:p w14:paraId="69C764FE">
      <w:pPr>
        <w:pageBreakBefore w:val="0"/>
        <w:widowControl/>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color w:val="000000"/>
          <w:sz w:val="32"/>
          <w:szCs w:val="32"/>
          <w:u w:color="000000"/>
        </w:rPr>
      </w:pPr>
      <w:r>
        <w:rPr>
          <w:rFonts w:ascii="Times New Roman Regular" w:hAnsi="Times New Roman Regular" w:eastAsia="仿宋_GB2312" w:cs="Times New Roman Regular"/>
          <w:color w:val="000000"/>
          <w:sz w:val="32"/>
          <w:szCs w:val="32"/>
          <w:u w:color="000000"/>
        </w:rPr>
        <w:t>建立考核评价制度，由实施机构牵头会同有关部门制定考核方案，对运营机构履职情况开展年度考核和期末综合评价，必要时引入第三方机构或专家参与。考核指标兼顾数量与质量，突出公共价值导向，综合评价产品服务供给与应用成效、数据质量提升、制度执行情况、收益核算与公开、用户满意度以及安全合规等情况，避免单纯以盈利水平作为评价依据。评价依据包括运营记录、财务资料、调查测评和访谈等，形成评分结论和改进建议。考核结果与政策支持、授权范围调整和续期安排挂钩，未达标的限期整改，情节严重或连续不达标的依法依规处置。同步开展用户满意度调查，将结果纳入评价权重，督促持续改进服务，并及时总结典型案例和经验做法，形成可复制、可推广的制度成果。</w:t>
      </w:r>
    </w:p>
    <w:bookmarkEnd w:id="76"/>
    <w:p w14:paraId="217A5425">
      <w:pPr>
        <w:pageBreakBefore w:val="0"/>
        <w:widowControl/>
        <w:shd w:val="clear" w:color="auto" w:fill="FFFFFF"/>
        <w:kinsoku/>
        <w:wordWrap/>
        <w:overflowPunct/>
        <w:topLinePunct w:val="0"/>
        <w:autoSpaceDE/>
        <w:autoSpaceDN/>
        <w:bidi w:val="0"/>
        <w:adjustRightInd/>
        <w:snapToGrid w:val="0"/>
        <w:spacing w:line="560" w:lineRule="exact"/>
        <w:ind w:firstLine="640" w:firstLineChars="200"/>
        <w:textAlignment w:val="auto"/>
        <w:outlineLvl w:val="0"/>
        <w:rPr>
          <w:rFonts w:ascii="Times New Roman Regular" w:hAnsi="Times New Roman Regular" w:eastAsia="黑体" w:cs="Times New Roman Regular"/>
          <w:color w:val="000000"/>
          <w:sz w:val="32"/>
          <w:shd w:val="clear" w:color="auto" w:fill="FFFFFF"/>
        </w:rPr>
      </w:pPr>
      <w:bookmarkStart w:id="77" w:name="_Toc26206"/>
      <w:r>
        <w:rPr>
          <w:rFonts w:ascii="Times New Roman Regular" w:hAnsi="Times New Roman Regular" w:eastAsia="黑体" w:cs="Times New Roman Regular"/>
          <w:color w:val="000000"/>
          <w:sz w:val="32"/>
          <w:shd w:val="clear" w:color="auto" w:fill="FFFFFF"/>
        </w:rPr>
        <w:t>十三、附则</w:t>
      </w:r>
      <w:bookmarkEnd w:id="77"/>
    </w:p>
    <w:p w14:paraId="6CFACA2F">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78" w:name="_Toc27978"/>
      <w:r>
        <w:rPr>
          <w:rFonts w:ascii="Times New Roman Regular" w:hAnsi="Times New Roman Regular" w:eastAsia="楷体_GB2312" w:cs="Times New Roman Regular"/>
          <w:b w:val="0"/>
          <w:color w:val="000000"/>
          <w:shd w:val="clear" w:color="auto" w:fill="FFFFFF"/>
        </w:rPr>
        <w:t>（一）方案管理与解释</w:t>
      </w:r>
      <w:bookmarkEnd w:id="78"/>
    </w:p>
    <w:p w14:paraId="6C2B567F">
      <w:pPr>
        <w:pageBreakBefore w:val="0"/>
        <w:widowControl/>
        <w:kinsoku/>
        <w:wordWrap/>
        <w:overflowPunct/>
        <w:topLinePunct w:val="0"/>
        <w:autoSpaceDE/>
        <w:autoSpaceDN/>
        <w:bidi w:val="0"/>
        <w:adjustRightInd/>
        <w:spacing w:line="560" w:lineRule="exact"/>
        <w:ind w:firstLine="640" w:firstLineChars="200"/>
        <w:textAlignment w:val="auto"/>
        <w:rPr>
          <w:rFonts w:ascii="Times New Roman Regular" w:hAnsi="Times New Roman Regular" w:eastAsia="仿宋_GB2312" w:cs="Times New Roman Regular"/>
          <w:color w:val="000000"/>
          <w:sz w:val="32"/>
          <w:szCs w:val="32"/>
          <w:u w:color="000000"/>
        </w:rPr>
      </w:pPr>
      <w:r>
        <w:rPr>
          <w:rFonts w:ascii="Times New Roman Regular" w:hAnsi="Times New Roman Regular" w:eastAsia="仿宋_GB2312" w:cs="Times New Roman Regular"/>
          <w:color w:val="000000"/>
          <w:sz w:val="32"/>
          <w:szCs w:val="32"/>
          <w:u w:color="000000"/>
        </w:rPr>
        <w:t>本方案经区人民政府审核同意后实施，未尽事宜按相关法律法规和上级政策执行。方案实施过程中，如需对方案内容作出重大调整，应按原报批程序报请批准后方可变更。本方案由</w:t>
      </w:r>
      <w:r>
        <w:rPr>
          <w:rFonts w:hint="eastAsia" w:ascii="Times New Roman Regular" w:hAnsi="Times New Roman Regular" w:eastAsia="仿宋_GB2312" w:cs="Times New Roman Regular"/>
          <w:color w:val="000000"/>
          <w:sz w:val="32"/>
          <w:szCs w:val="32"/>
          <w:u w:color="000000"/>
        </w:rPr>
        <w:t>东丽</w:t>
      </w:r>
      <w:r>
        <w:rPr>
          <w:rFonts w:ascii="Times New Roman Regular" w:hAnsi="Times New Roman Regular" w:eastAsia="仿宋_GB2312" w:cs="Times New Roman Regular"/>
          <w:color w:val="000000"/>
          <w:sz w:val="32"/>
          <w:szCs w:val="32"/>
          <w:u w:color="000000"/>
        </w:rPr>
        <w:t>区数据局负责解释。实施过程中形成的配套制度和细则，由区数据局会同相关部门另行制定发布。</w:t>
      </w:r>
    </w:p>
    <w:p w14:paraId="55A235DB">
      <w:pPr>
        <w:pStyle w:val="3"/>
        <w:keepNext w:val="0"/>
        <w:keepLines w:val="0"/>
        <w:pageBreakBefore w:val="0"/>
        <w:widowControl/>
        <w:shd w:val="clear" w:color="auto" w:fill="FFFFFF"/>
        <w:kinsoku/>
        <w:wordWrap/>
        <w:overflowPunct/>
        <w:topLinePunct w:val="0"/>
        <w:autoSpaceDE/>
        <w:autoSpaceDN/>
        <w:bidi w:val="0"/>
        <w:adjustRightInd/>
        <w:snapToGrid w:val="0"/>
        <w:spacing w:before="0" w:after="0" w:line="560" w:lineRule="exact"/>
        <w:ind w:firstLine="640" w:firstLineChars="200"/>
        <w:textAlignment w:val="auto"/>
        <w:rPr>
          <w:rFonts w:ascii="Times New Roman Regular" w:hAnsi="Times New Roman Regular" w:eastAsia="楷体_GB2312" w:cs="Times New Roman Regular"/>
          <w:b w:val="0"/>
          <w:color w:val="000000"/>
          <w:shd w:val="clear" w:color="auto" w:fill="FFFFFF"/>
        </w:rPr>
      </w:pPr>
      <w:bookmarkStart w:id="79" w:name="_Toc8126"/>
      <w:r>
        <w:rPr>
          <w:rFonts w:ascii="Times New Roman Regular" w:hAnsi="Times New Roman Regular" w:eastAsia="楷体_GB2312" w:cs="Times New Roman Regular"/>
          <w:b w:val="0"/>
          <w:color w:val="000000"/>
          <w:shd w:val="clear" w:color="auto" w:fill="FFFFFF"/>
        </w:rPr>
        <w:t>（二）生效与施行</w:t>
      </w:r>
      <w:bookmarkEnd w:id="79"/>
    </w:p>
    <w:p w14:paraId="08C81F14">
      <w:pPr>
        <w:pageBreakBefore w:val="0"/>
        <w:kinsoku/>
        <w:wordWrap/>
        <w:overflowPunct/>
        <w:topLinePunct w:val="0"/>
        <w:autoSpaceDE/>
        <w:autoSpaceDN/>
        <w:bidi w:val="0"/>
        <w:adjustRightInd/>
        <w:spacing w:line="560" w:lineRule="exact"/>
        <w:ind w:firstLine="640" w:firstLineChars="200"/>
        <w:textAlignment w:val="auto"/>
      </w:pPr>
      <w:r>
        <w:rPr>
          <w:rFonts w:ascii="Times New Roman Regular" w:hAnsi="Times New Roman Regular" w:eastAsia="仿宋_GB2312" w:cs="Times New Roman Regular"/>
          <w:color w:val="000000"/>
          <w:sz w:val="32"/>
          <w:szCs w:val="32"/>
          <w:u w:color="000000"/>
        </w:rPr>
        <w:t>本实施方案自发布之日起施行，有效期与授权运营期限保持一致，暂定三年。期满后，如经评估认为需继续推进，可在本方案框架基础上进行修订完善后延续执行；也可根据国家和天津市最新政策要求，另行制定新的实施方案。实施期间相关进展情况将及时汇总并上报，为上级部门完善相关政策体系提供实践参考。</w:t>
      </w:r>
    </w:p>
    <w:sectPr>
      <w:pgSz w:w="11906" w:h="16838"/>
      <w:pgMar w:top="2041" w:right="1559" w:bottom="1701"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汉仪中等线KW">
    <w:altName w:val="宋体"/>
    <w:panose1 w:val="01010104010101010101"/>
    <w:charset w:val="86"/>
    <w:family w:val="auto"/>
    <w:pitch w:val="default"/>
    <w:sig w:usb0="00000000" w:usb1="00000000" w:usb2="00000000" w:usb3="00000000" w:csb0="00040001" w:csb1="00000000"/>
  </w:font>
  <w:font w:name="Times New Roman Regular">
    <w:altName w:val="Times"/>
    <w:panose1 w:val="02020603050405020304"/>
    <w:charset w:val="00"/>
    <w:family w:val="auto"/>
    <w:pitch w:val="default"/>
    <w:sig w:usb0="00000000" w:usb1="00000000"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imes">
    <w:altName w:val="CG Times"/>
    <w:panose1 w:val="00000000000000000000"/>
    <w:charset w:val="00"/>
    <w:family w:val="auto"/>
    <w:pitch w:val="default"/>
    <w:sig w:usb0="00000000" w:usb1="00000000" w:usb2="00000000" w:usb3="00000000" w:csb0="00000000" w:csb1="00000000"/>
  </w:font>
  <w:font w:name="CG Times">
    <w:panose1 w:val="02020603050405020304"/>
    <w:charset w:val="00"/>
    <w:family w:val="auto"/>
    <w:pitch w:val="default"/>
    <w:sig w:usb0="00000007" w:usb1="00000000" w:usb2="00000000" w:usb3="00000000" w:csb0="00000093"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0CB52">
    <w:pPr>
      <w:tabs>
        <w:tab w:val="center" w:pos="4153"/>
        <w:tab w:val="right" w:pos="8306"/>
      </w:tabs>
      <w:ind w:firstLine="360"/>
      <w:jc w:val="center"/>
      <w:rPr>
        <w:rFonts w:eastAsia="Calibri" w:cs="Calibri"/>
        <w:color w:val="000000"/>
        <w:kern w:val="0"/>
        <w:sz w:val="18"/>
        <w:szCs w:val="18"/>
        <w:u w:color="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15E48">
    <w:pPr>
      <w:tabs>
        <w:tab w:val="center" w:pos="4153"/>
        <w:tab w:val="right" w:pos="8306"/>
      </w:tabs>
      <w:ind w:firstLine="360"/>
      <w:jc w:val="center"/>
      <w:rPr>
        <w:rFonts w:eastAsia="Calibri" w:cs="Calibri"/>
        <w:color w:val="000000"/>
        <w:kern w:val="0"/>
        <w:sz w:val="18"/>
        <w:szCs w:val="18"/>
        <w:u w:color="000000"/>
      </w:rPr>
    </w:pPr>
    <w:r>
      <w:rPr>
        <w:sz w:val="18"/>
      </w:rPr>
      <mc:AlternateContent>
        <mc:Choice Requires="wps">
          <w:drawing>
            <wp:anchor distT="0" distB="0" distL="114300" distR="114300" simplePos="0" relativeHeight="251659264" behindDoc="0" locked="0" layoutInCell="1" allowOverlap="1">
              <wp:simplePos x="0" y="0"/>
              <wp:positionH relativeFrom="margin">
                <wp:posOffset>5253990</wp:posOffset>
              </wp:positionH>
              <wp:positionV relativeFrom="paragraph">
                <wp:posOffset>-76200</wp:posOffset>
              </wp:positionV>
              <wp:extent cx="1828800" cy="21907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219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145200">
                          <w:pPr>
                            <w:pStyle w:val="7"/>
                          </w:pPr>
                          <w: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13.7pt;margin-top:-6pt;height:17.25pt;width:144pt;mso-position-horizontal-relative:margin;mso-wrap-style:none;z-index:251659264;mso-width-relative:page;mso-height-relative:page;" filled="f" stroked="f" coordsize="21600,21600" o:gfxdata="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LhqVDaAAAACwEAAA8AAAAAAAAAAQAgAAAAIgAAAGRycy9kb3du&#10;cmV2LnhtbFBLAQIUABQAAAAIAIdO4kAhNiD0NgIAAGAEAAAOAAAAAAAAAAEAIAAAACkBAABkcnMv&#10;ZTJvRG9jLnhtbFBLBQYAAAAABgAGAFkBAADRBQAAAAA=&#10;">
              <v:fill on="f" focussize="0,0"/>
              <v:stroke on="f" weight="0.5pt"/>
              <v:imagedata o:title=""/>
              <o:lock v:ext="edit" aspectratio="f"/>
              <v:textbox inset="0mm,0mm,0mm,0mm">
                <w:txbxContent>
                  <w:p w14:paraId="12145200">
                    <w:pPr>
                      <w:pStyle w:val="7"/>
                    </w:pPr>
                    <w: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F4AA7">
    <w:pPr>
      <w:tabs>
        <w:tab w:val="center" w:pos="4153"/>
        <w:tab w:val="right" w:pos="8306"/>
      </w:tabs>
      <w:ind w:firstLine="360"/>
      <w:jc w:val="center"/>
      <w:rPr>
        <w:rFonts w:eastAsia="Calibri" w:cs="Calibri"/>
        <w:color w:val="000000"/>
        <w:kern w:val="0"/>
        <w:sz w:val="18"/>
        <w:szCs w:val="18"/>
        <w:u w:color="000000"/>
      </w:rPr>
    </w:pPr>
    <w:r>
      <w:rPr>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-50800</wp:posOffset>
              </wp:positionV>
              <wp:extent cx="1828800" cy="193675"/>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936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704868">
                          <w:pPr>
                            <w:pStyle w:val="7"/>
                          </w:pPr>
                          <w: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4pt;height:15.25pt;width:144pt;mso-position-horizontal-relative:margin;mso-wrap-style:none;z-index:251660288;mso-width-relative:page;mso-height-relative:page;" filled="f" stroked="f" coordsize="21600,21600" o:gfxdata="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nB6W+1QAAAAYBAAAPAAAAAAAAAAEAIAAAACIAAABkcnMvZG93bnJldi54&#10;bWxQSwECFAAUAAAACACHTuJAYM9YZjYCAABgBAAADgAAAAAAAAABACAAAAAkAQAAZHJzL2Uyb0Rv&#10;Yy54bWxQSwUGAAAAAAYABgBZAQAAzAUAAAAA&#10;">
              <v:fill on="f" focussize="0,0"/>
              <v:stroke on="f" weight="0.5pt"/>
              <v:imagedata o:title=""/>
              <o:lock v:ext="edit" aspectratio="f"/>
              <v:textbox inset="0mm,0mm,0mm,0mm">
                <w:txbxContent>
                  <w:p w14:paraId="08704868">
                    <w:pPr>
                      <w:pStyle w:val="7"/>
                    </w:pPr>
                    <w: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F887E"/>
    <w:rsid w:val="30EF887E"/>
    <w:rsid w:val="3B793354"/>
    <w:rsid w:val="FC6D3145"/>
    <w:rsid w:val="FFED0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4">
    <w:name w:val="Body Text"/>
    <w:basedOn w:val="1"/>
    <w:next w:val="5"/>
    <w:qFormat/>
    <w:uiPriority w:val="99"/>
    <w:pPr>
      <w:spacing w:after="120"/>
    </w:pPr>
  </w:style>
  <w:style w:type="paragraph" w:customStyle="1" w:styleId="5">
    <w:name w:val="Default"/>
    <w:next w:val="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6">
    <w:name w:val="表格文字"/>
    <w:basedOn w:val="1"/>
    <w:qFormat/>
    <w:uiPriority w:val="0"/>
    <w:pPr>
      <w:adjustRightInd w:val="0"/>
      <w:spacing w:line="420" w:lineRule="atLeast"/>
      <w:jc w:val="left"/>
      <w:textAlignment w:val="baseline"/>
    </w:pPr>
    <w:rPr>
      <w:kern w:val="0"/>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toc 1"/>
    <w:basedOn w:val="1"/>
    <w:next w:val="1"/>
    <w:unhideWhenUsed/>
    <w:qFormat/>
    <w:uiPriority w:val="39"/>
    <w:pPr>
      <w:tabs>
        <w:tab w:val="right" w:leader="dot" w:pos="15388"/>
      </w:tabs>
    </w:pPr>
  </w:style>
  <w:style w:type="paragraph" w:styleId="9">
    <w:name w:val="toc 2"/>
    <w:basedOn w:val="1"/>
    <w:next w:val="1"/>
    <w:unhideWhenUsed/>
    <w:qFormat/>
    <w:uiPriority w:val="39"/>
    <w:pPr>
      <w:ind w:left="420" w:leftChars="200"/>
    </w:pPr>
  </w:style>
  <w:style w:type="paragraph" w:customStyle="1" w:styleId="12">
    <w:name w:val="正文 A"/>
    <w:qFormat/>
    <w:uiPriority w:val="0"/>
    <w:pPr>
      <w:framePr w:wrap="around" w:vAnchor="margin" w:hAnchor="text" w:y="1"/>
      <w:widowControl w:val="0"/>
      <w:jc w:val="both"/>
    </w:pPr>
    <w:rPr>
      <w:rFonts w:ascii="等线" w:hAnsi="等线" w:eastAsia="等线" w:cs="等线"/>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6676</Words>
  <Characters>6739</Characters>
  <Lines>0</Lines>
  <Paragraphs>0</Paragraphs>
  <TotalTime>898</TotalTime>
  <ScaleCrop>false</ScaleCrop>
  <LinksUpToDate>false</LinksUpToDate>
  <CharactersWithSpaces>6804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2026-03-20T17:26:00Z</dcterms:created>
  <dc:creator>WPS_1474731857</dc:creator>
  <cp:lastModifiedBy>。</cp:lastModifiedBy>
  <dcterms:modified xsi:type="dcterms:W3CDTF">2026-03-31T00:37:57Z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4FBAEAD124B6DDB12EA2BC69E9FABCDB_41</vt:lpwstr>
  </property>
  <property fmtid="{D5CDD505-2E9C-101B-9397-08002B2CF9AE}" pid="4" name="KSOTemplateDocerSaveRecord">
    <vt:lpwstr>eyJoZGlkIjoiNDExMTI4MjA5NzI0ZGU0YWU1MWUwMDk1OGQ4OWQ5NzQiLCJ1c2VySWQiOiI0NTg5OTg0MTcifQ==</vt:lpwstr>
  </property>
</Properties>
</file>